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40" w:line="276" w:lineRule="auto"/>
        <w:jc w:val="center"/>
      </w:pPr>
      <w:r>
        <w:rPr>
          <w:rFonts w:ascii="Calibri" w:hAnsi="Calibri" w:cs="Calibri"/>
          <w:b/>
          <w:i w:val="0"/>
          <w:color w:val="0F3D24"/>
          <w:sz w:val="40"/>
        </w:rPr>
        <w:t>PARTNER DISTRIBUTION AGREEMENT</w:t>
      </w:r>
    </w:p>
    <w:p>
      <w:pPr>
        <w:spacing w:before="0" w:after="200" w:line="276" w:lineRule="auto"/>
        <w:jc w:val="center"/>
      </w:pPr>
      <w:r>
        <w:rPr>
          <w:rFonts w:ascii="Calibri" w:hAnsi="Calibri" w:cs="Calibri"/>
          <w:b w:val="0"/>
          <w:i/>
          <w:color w:val="1F6B3A"/>
          <w:sz w:val="24"/>
        </w:rPr>
        <w:t>Introducer / Referral Arrangement — PMS, AIF and GIFT City</w:t>
      </w:r>
    </w:p>
    <w:tbl>
      <w:tblPr>
        <w:tblW w:type="dxa" w:w="9355"/>
        <w:jc w:val="center"/>
        <w:tblLayout w:type="fixed"/>
        <w:tblLook w:firstColumn="1" w:firstRow="1" w:lastColumn="0" w:lastRow="0" w:noHBand="0" w:noVBand="1" w:val="04A0"/>
      </w:tblPr>
      <w:tblGrid>
        <w:gridCol w:w="4819"/>
        <w:gridCol w:w="4819"/>
      </w:tblGrid>
      <w:tr>
        <w:tc>
          <w:tcPr>
            <w:tcW w:type="dxa" w:w="2494"/>
            <w:vAlign w:val="center"/>
            <w:shd w:fill="F4F6F4" w:val="clear"/>
            <w:tcBorders>
              <w:top w:val="single" w:sz="4" w:space="0" w:color="E2E6E3"/>
              <w:bottom w:val="single" w:sz="4" w:space="0" w:color="E2E6E3"/>
              <w:left w:val="single" w:sz="4" w:space="0" w:color="E2E6E3"/>
              <w:right w:val="single" w:sz="4" w:space="0" w:color="E2E6E3"/>
            </w:tcBorders>
          </w:tcPr>
          <w:p>
            <w:pPr>
              <w:spacing w:before="80" w:after="80"/>
            </w:pPr>
            <w:r>
              <w:rPr>
                <w:rFonts w:ascii="Calibri" w:hAnsi="Calibri" w:cs="Calibri"/>
                <w:b/>
                <w:i w:val="0"/>
                <w:color w:val="0F3D24"/>
                <w:sz w:val="20"/>
              </w:rPr>
              <w:t>Document</w:t>
            </w:r>
          </w:p>
        </w:tc>
        <w:tc>
          <w:tcPr>
            <w:tcW w:type="dxa" w:w="6860"/>
            <w:vAlign w:val="center"/>
            <w:tcBorders>
              <w:top w:val="single" w:sz="4" w:space="0" w:color="E2E6E3"/>
              <w:bottom w:val="single" w:sz="4" w:space="0" w:color="E2E6E3"/>
              <w:left w:val="single" w:sz="4" w:space="0" w:color="E2E6E3"/>
              <w:right w:val="single" w:sz="4" w:space="0" w:color="E2E6E3"/>
            </w:tcBorders>
          </w:tcPr>
          <w:p>
            <w:pPr>
              <w:spacing w:before="80" w:after="80"/>
            </w:pPr>
            <w:r>
              <w:rPr>
                <w:rFonts w:ascii="Calibri" w:hAnsi="Calibri" w:cs="Calibri"/>
                <w:b w:val="0"/>
                <w:i w:val="0"/>
                <w:color w:val="1A1F1C"/>
                <w:sz w:val="20"/>
              </w:rPr>
              <w:t>KVL-PDA-2026-09</w:t>
            </w:r>
          </w:p>
        </w:tc>
      </w:tr>
      <w:tr>
        <w:tc>
          <w:tcPr>
            <w:tcW w:type="dxa" w:w="2494"/>
            <w:vAlign w:val="center"/>
            <w:shd w:fill="F4F6F4" w:val="clear"/>
            <w:tcBorders>
              <w:top w:val="single" w:sz="4" w:space="0" w:color="E2E6E3"/>
              <w:bottom w:val="single" w:sz="4" w:space="0" w:color="E2E6E3"/>
              <w:left w:val="single" w:sz="4" w:space="0" w:color="E2E6E3"/>
              <w:right w:val="single" w:sz="4" w:space="0" w:color="E2E6E3"/>
            </w:tcBorders>
          </w:tcPr>
          <w:p>
            <w:pPr>
              <w:spacing w:before="80" w:after="80"/>
            </w:pPr>
            <w:r>
              <w:rPr>
                <w:rFonts w:ascii="Calibri" w:hAnsi="Calibri" w:cs="Calibri"/>
                <w:b/>
                <w:i w:val="0"/>
                <w:color w:val="0F3D24"/>
                <w:sz w:val="20"/>
              </w:rPr>
              <w:t>Nature</w:t>
            </w:r>
          </w:p>
        </w:tc>
        <w:tc>
          <w:tcPr>
            <w:tcW w:type="dxa" w:w="6860"/>
            <w:vAlign w:val="center"/>
            <w:tcBorders>
              <w:top w:val="single" w:sz="4" w:space="0" w:color="E2E6E3"/>
              <w:bottom w:val="single" w:sz="4" w:space="0" w:color="E2E6E3"/>
              <w:left w:val="single" w:sz="4" w:space="0" w:color="E2E6E3"/>
              <w:right w:val="single" w:sz="4" w:space="0" w:color="E2E6E3"/>
            </w:tcBorders>
          </w:tcPr>
          <w:p>
            <w:pPr>
              <w:spacing w:before="80" w:after="80"/>
            </w:pPr>
            <w:r>
              <w:rPr>
                <w:rFonts w:ascii="Calibri" w:hAnsi="Calibri" w:cs="Calibri"/>
                <w:b w:val="0"/>
                <w:i w:val="0"/>
                <w:color w:val="1A1F1C"/>
                <w:sz w:val="20"/>
              </w:rPr>
              <w:t>Non-exclusive introducer arrangement (not a SEBI distributor or IA appointment)</w:t>
            </w:r>
          </w:p>
        </w:tc>
      </w:tr>
      <w:tr>
        <w:tc>
          <w:tcPr>
            <w:tcW w:type="dxa" w:w="2494"/>
            <w:vAlign w:val="center"/>
            <w:shd w:fill="F4F6F4" w:val="clear"/>
            <w:tcBorders>
              <w:top w:val="single" w:sz="4" w:space="0" w:color="E2E6E3"/>
              <w:bottom w:val="single" w:sz="4" w:space="0" w:color="E2E6E3"/>
              <w:left w:val="single" w:sz="4" w:space="0" w:color="E2E6E3"/>
              <w:right w:val="single" w:sz="4" w:space="0" w:color="E2E6E3"/>
            </w:tcBorders>
          </w:tcPr>
          <w:p>
            <w:pPr>
              <w:spacing w:before="80" w:after="80"/>
            </w:pPr>
            <w:r>
              <w:rPr>
                <w:rFonts w:ascii="Calibri" w:hAnsi="Calibri" w:cs="Calibri"/>
                <w:b/>
                <w:i w:val="0"/>
                <w:color w:val="0F3D24"/>
                <w:sz w:val="20"/>
              </w:rPr>
              <w:t>Governing law</w:t>
            </w:r>
          </w:p>
        </w:tc>
        <w:tc>
          <w:tcPr>
            <w:tcW w:type="dxa" w:w="6860"/>
            <w:vAlign w:val="center"/>
            <w:tcBorders>
              <w:top w:val="single" w:sz="4" w:space="0" w:color="E2E6E3"/>
              <w:bottom w:val="single" w:sz="4" w:space="0" w:color="E2E6E3"/>
              <w:left w:val="single" w:sz="4" w:space="0" w:color="E2E6E3"/>
              <w:right w:val="single" w:sz="4" w:space="0" w:color="E2E6E3"/>
            </w:tcBorders>
          </w:tcPr>
          <w:p>
            <w:pPr>
              <w:spacing w:before="80" w:after="80"/>
            </w:pPr>
            <w:r>
              <w:rPr>
                <w:rFonts w:ascii="Calibri" w:hAnsi="Calibri" w:cs="Calibri"/>
                <w:b w:val="0"/>
                <w:i w:val="0"/>
                <w:color w:val="1A1F1C"/>
                <w:sz w:val="20"/>
              </w:rPr>
              <w:t>Laws of India; exclusive jurisdiction of the courts at Chennai, Tamil Nadu</w:t>
            </w:r>
          </w:p>
        </w:tc>
      </w:tr>
      <w:tr>
        <w:tc>
          <w:tcPr>
            <w:tcW w:type="dxa" w:w="2494"/>
            <w:vAlign w:val="center"/>
            <w:shd w:fill="F4F6F4" w:val="clear"/>
            <w:tcBorders>
              <w:top w:val="single" w:sz="4" w:space="0" w:color="E2E6E3"/>
              <w:bottom w:val="single" w:sz="4" w:space="0" w:color="E2E6E3"/>
              <w:left w:val="single" w:sz="4" w:space="0" w:color="E2E6E3"/>
              <w:right w:val="single" w:sz="4" w:space="0" w:color="E2E6E3"/>
            </w:tcBorders>
          </w:tcPr>
          <w:p>
            <w:pPr>
              <w:spacing w:before="80" w:after="80"/>
            </w:pPr>
            <w:r>
              <w:rPr>
                <w:rFonts w:ascii="Calibri" w:hAnsi="Calibri" w:cs="Calibri"/>
                <w:b/>
                <w:i w:val="0"/>
                <w:color w:val="0F3D24"/>
                <w:sz w:val="20"/>
              </w:rPr>
              <w:t>Effective Date</w:t>
            </w:r>
          </w:p>
        </w:tc>
        <w:tc>
          <w:tcPr>
            <w:tcW w:type="dxa" w:w="6860"/>
            <w:vAlign w:val="center"/>
            <w:tcBorders>
              <w:top w:val="single" w:sz="4" w:space="0" w:color="E2E6E3"/>
              <w:bottom w:val="single" w:sz="4" w:space="0" w:color="E2E6E3"/>
              <w:left w:val="single" w:sz="4" w:space="0" w:color="E2E6E3"/>
              <w:right w:val="single" w:sz="4" w:space="0" w:color="E2E6E3"/>
            </w:tcBorders>
          </w:tcPr>
          <w:p>
            <w:pPr>
              <w:spacing w:before="80" w:after="80"/>
            </w:pPr>
            <w:r>
              <w:rPr>
                <w:rFonts w:ascii="Calibri" w:hAnsi="Calibri" w:cs="Calibri"/>
                <w:b w:val="0"/>
                <w:i w:val="0"/>
                <w:color w:val="1A1F1C"/>
                <w:sz w:val="20"/>
              </w:rPr>
              <w:t>________________________________</w:t>
            </w:r>
          </w:p>
        </w:tc>
      </w:tr>
    </w:tbl>
    <w:p>
      <w:pPr>
        <w:spacing w:before="0" w:after="120" w:line="276" w:lineRule="auto"/>
        <w:jc w:val="left"/>
      </w:pPr>
    </w:p>
    <w:p>
      <w:pPr>
        <w:spacing w:before="0" w:after="200" w:line="276" w:lineRule="auto"/>
        <w:jc w:val="both"/>
      </w:pPr>
      <w:r>
        <w:rPr>
          <w:rFonts w:ascii="Calibri" w:hAnsi="Calibri" w:cs="Calibri"/>
          <w:b w:val="0"/>
          <w:i w:val="0"/>
          <w:color w:val="1A1F1C"/>
          <w:sz w:val="22"/>
        </w:rPr>
        <w:t>This Partner Distribution Agreement (“Agreement”) is made at Chennai on the Effective Date stated above.</w:t>
      </w:r>
    </w:p>
    <w:p>
      <w:pPr>
        <w:spacing w:before="80" w:after="120" w:line="276" w:lineRule="auto"/>
        <w:jc w:val="center"/>
      </w:pPr>
      <w:r>
        <w:rPr>
          <w:rFonts w:ascii="Calibri" w:hAnsi="Calibri" w:cs="Calibri"/>
          <w:b/>
          <w:i w:val="0"/>
          <w:color w:val="0F3D24"/>
          <w:sz w:val="22"/>
        </w:rPr>
        <w:t>BETWEEN</w:t>
      </w:r>
    </w:p>
    <w:p>
      <w:pPr>
        <w:spacing w:before="0" w:after="160" w:line="276" w:lineRule="auto"/>
        <w:jc w:val="both"/>
      </w:pPr>
      <w:r>
        <w:rPr>
          <w:rFonts w:ascii="Calibri" w:hAnsi="Calibri" w:cs="Calibri"/>
          <w:b w:val="0"/>
          <w:i w:val="0"/>
          <w:color w:val="1A1F1C"/>
          <w:sz w:val="22"/>
        </w:rPr>
        <w:t>Kalviro Ventures LLP, a limited liability partnership registered in India, having its office at No. 1 Cooks Road, SPR City, A-2904, Chennai 600012, Tamil Nadu (APMI Registration No. APRN-06567; AMFI Registration No. ARN-335497) (“Kalviro”);</w:t>
      </w:r>
    </w:p>
    <w:p>
      <w:pPr>
        <w:spacing w:before="40" w:after="120" w:line="276" w:lineRule="auto"/>
        <w:jc w:val="center"/>
      </w:pPr>
      <w:r>
        <w:rPr>
          <w:rFonts w:ascii="Calibri" w:hAnsi="Calibri" w:cs="Calibri"/>
          <w:b/>
          <w:i w:val="0"/>
          <w:color w:val="0F3D24"/>
          <w:sz w:val="22"/>
        </w:rPr>
        <w:t>AND</w:t>
      </w:r>
    </w:p>
    <w:p>
      <w:pPr>
        <w:spacing w:before="0" w:after="160" w:line="276" w:lineRule="auto"/>
        <w:jc w:val="both"/>
      </w:pPr>
      <w:r>
        <w:rPr>
          <w:rFonts w:ascii="Calibri" w:hAnsi="Calibri" w:cs="Calibri"/>
          <w:b w:val="0"/>
          <w:i w:val="0"/>
          <w:color w:val="1A1F1C"/>
          <w:sz w:val="22"/>
        </w:rPr>
        <w:t>________________________________________________________________, an individual / proprietorship / partnership / company, having PAN ____________________, residing / having office at ________________________________________________________________ (“Partner”).</w:t>
      </w:r>
    </w:p>
    <w:p>
      <w:pPr>
        <w:spacing w:before="0" w:after="200" w:line="276" w:lineRule="auto"/>
        <w:jc w:val="both"/>
      </w:pPr>
      <w:r>
        <w:rPr>
          <w:rFonts w:ascii="Calibri" w:hAnsi="Calibri" w:cs="Calibri"/>
          <w:b w:val="0"/>
          <w:i/>
          <w:color w:val="1A1F1C"/>
          <w:sz w:val="22"/>
        </w:rPr>
        <w:t>Kalviro and the Partner are each a “Party” and together the “Parties”.</w:t>
      </w:r>
    </w:p>
    <w:p>
      <w:pPr>
        <w:spacing w:before="280" w:after="120" w:line="276" w:lineRule="auto"/>
        <w:jc w:val="left"/>
        <w:pBdr>
          <w:bottom w:val="single" w:sz="6" w:space="1" w:color="C8D4CC"/>
        </w:pBdr>
      </w:pPr>
      <w:r>
        <w:rPr>
          <w:rFonts w:ascii="Calibri" w:hAnsi="Calibri" w:cs="Calibri"/>
          <w:b/>
          <w:i w:val="0"/>
          <w:color w:val="0F3D24"/>
          <w:sz w:val="24"/>
        </w:rPr>
        <w:t>1.  BACKGROUND</w:t>
      </w:r>
    </w:p>
    <w:p>
      <w:pPr>
        <w:spacing w:before="40" w:after="120" w:line="276" w:lineRule="auto"/>
        <w:ind w:left="85"/>
        <w:jc w:val="both"/>
      </w:pPr>
      <w:r>
        <w:rPr>
          <w:rFonts w:ascii="Calibri" w:hAnsi="Calibri" w:cs="Calibri"/>
          <w:b/>
          <w:i w:val="0"/>
          <w:color w:val="1F6B3A"/>
          <w:sz w:val="22"/>
        </w:rPr>
        <w:t xml:space="preserve">1.1    </w:t>
      </w:r>
      <w:r>
        <w:rPr>
          <w:rFonts w:ascii="Calibri" w:hAnsi="Calibri" w:cs="Calibri"/>
          <w:b w:val="0"/>
          <w:i w:val="0"/>
          <w:color w:val="1A1F1C"/>
          <w:sz w:val="22"/>
        </w:rPr>
        <w:t>Kalviro facilitates eligible-investor access to portfolio management services (PMS), alternative investment funds (AIF), and GIFT City / IFSC products (the “Products”).</w:t>
      </w:r>
    </w:p>
    <w:p>
      <w:pPr>
        <w:spacing w:before="40" w:after="120" w:line="276" w:lineRule="auto"/>
        <w:ind w:left="85"/>
        <w:jc w:val="both"/>
      </w:pPr>
      <w:r>
        <w:rPr>
          <w:rFonts w:ascii="Calibri" w:hAnsi="Calibri" w:cs="Calibri"/>
          <w:b/>
          <w:i w:val="0"/>
          <w:color w:val="1F6B3A"/>
          <w:sz w:val="22"/>
        </w:rPr>
        <w:t xml:space="preserve">1.2    </w:t>
      </w:r>
      <w:r>
        <w:rPr>
          <w:rFonts w:ascii="Calibri" w:hAnsi="Calibri" w:cs="Calibri"/>
          <w:b w:val="0"/>
          <w:i w:val="0"/>
          <w:color w:val="1A1F1C"/>
          <w:sz w:val="22"/>
        </w:rPr>
        <w:t>The Partner wishes to introduce prospective investors to Kalviro on a non-exclusive basis. Kalviro wishes to appoint the Partner solely as an introducer on the terms of this Agreement.</w:t>
      </w:r>
    </w:p>
    <w:p>
      <w:pPr>
        <w:spacing w:before="40" w:after="120" w:line="276" w:lineRule="auto"/>
        <w:ind w:left="85"/>
        <w:jc w:val="both"/>
      </w:pPr>
      <w:r>
        <w:rPr>
          <w:rFonts w:ascii="Calibri" w:hAnsi="Calibri" w:cs="Calibri"/>
          <w:b/>
          <w:i w:val="0"/>
          <w:color w:val="1F6B3A"/>
          <w:sz w:val="22"/>
        </w:rPr>
        <w:t xml:space="preserve">1.3    </w:t>
      </w:r>
      <w:r>
        <w:rPr>
          <w:rFonts w:ascii="Calibri" w:hAnsi="Calibri" w:cs="Calibri"/>
          <w:b w:val="0"/>
          <w:i w:val="0"/>
          <w:color w:val="1A1F1C"/>
          <w:sz w:val="22"/>
        </w:rPr>
        <w:t>The Partner is not appointed as a portfolio-management distributor, placement agent, or investment adviser, unless separately registered with the relevant regulator and expressly authorised by Kalviro in writing.</w:t>
      </w:r>
    </w:p>
    <w:p>
      <w:pPr>
        <w:spacing w:before="280" w:after="120" w:line="276" w:lineRule="auto"/>
        <w:jc w:val="left"/>
        <w:pBdr>
          <w:bottom w:val="single" w:sz="6" w:space="1" w:color="C8D4CC"/>
        </w:pBdr>
      </w:pPr>
      <w:r>
        <w:rPr>
          <w:rFonts w:ascii="Calibri" w:hAnsi="Calibri" w:cs="Calibri"/>
          <w:b/>
          <w:i w:val="0"/>
          <w:color w:val="0F3D24"/>
          <w:sz w:val="24"/>
        </w:rPr>
        <w:t>2.  DEFINITIONS</w:t>
      </w:r>
    </w:p>
    <w:p>
      <w:pPr>
        <w:spacing w:before="40" w:after="120" w:line="276" w:lineRule="auto"/>
        <w:ind w:left="85"/>
        <w:jc w:val="both"/>
      </w:pPr>
      <w:r>
        <w:rPr>
          <w:rFonts w:ascii="Calibri" w:hAnsi="Calibri" w:cs="Calibri"/>
          <w:b/>
          <w:i w:val="0"/>
          <w:color w:val="1F6B3A"/>
          <w:sz w:val="22"/>
        </w:rPr>
        <w:t xml:space="preserve">2.1    </w:t>
      </w:r>
      <w:r>
        <w:rPr>
          <w:rFonts w:ascii="Calibri" w:hAnsi="Calibri" w:cs="Calibri"/>
          <w:b w:val="0"/>
          <w:i w:val="0"/>
          <w:color w:val="1A1F1C"/>
          <w:sz w:val="22"/>
        </w:rPr>
        <w:t>“Applicable Law” means all Indian laws, rules, regulations, circulars and guidelines that apply to a Party, including SEBI regulations, APMI guidelines, IFSCA regulations (where relevant), the Prevention of Money-Laundering Act, 2002, and the Digital Personal Data Protection Act, 2023.</w:t>
      </w:r>
    </w:p>
    <w:p>
      <w:pPr>
        <w:spacing w:before="40" w:after="120" w:line="276" w:lineRule="auto"/>
        <w:ind w:left="85"/>
        <w:jc w:val="both"/>
      </w:pPr>
      <w:r>
        <w:rPr>
          <w:rFonts w:ascii="Calibri" w:hAnsi="Calibri" w:cs="Calibri"/>
          <w:b/>
          <w:i w:val="0"/>
          <w:color w:val="1F6B3A"/>
          <w:sz w:val="22"/>
        </w:rPr>
        <w:t xml:space="preserve">2.2    </w:t>
      </w:r>
      <w:r>
        <w:rPr>
          <w:rFonts w:ascii="Calibri" w:hAnsi="Calibri" w:cs="Calibri"/>
          <w:b w:val="0"/>
          <w:i w:val="0"/>
          <w:color w:val="1A1F1C"/>
          <w:sz w:val="22"/>
        </w:rPr>
        <w:t>“Net Revenue” means trail, placement or distribution fees actually received by Kalviro from the relevant AMC, portfolio manager, AIF or GIFT City product provider on a Qualifying Investment, after reversals, chargebacks, clawbacks and any tax deducted by the payer, but before TDS on the Referral Fee. Amounts not yet received by Kalviro are excluded.</w:t>
      </w:r>
    </w:p>
    <w:p>
      <w:pPr>
        <w:spacing w:before="40" w:after="120" w:line="276" w:lineRule="auto"/>
        <w:ind w:left="85"/>
        <w:jc w:val="both"/>
      </w:pPr>
      <w:r>
        <w:rPr>
          <w:rFonts w:ascii="Calibri" w:hAnsi="Calibri" w:cs="Calibri"/>
          <w:b/>
          <w:i w:val="0"/>
          <w:color w:val="1F6B3A"/>
          <w:sz w:val="22"/>
        </w:rPr>
        <w:t xml:space="preserve">2.3    </w:t>
      </w:r>
      <w:r>
        <w:rPr>
          <w:rFonts w:ascii="Calibri" w:hAnsi="Calibri" w:cs="Calibri"/>
          <w:b w:val="0"/>
          <w:i w:val="0"/>
          <w:color w:val="1A1F1C"/>
          <w:sz w:val="22"/>
        </w:rPr>
        <w:t>“Qualifying Investment” means a completed, funded investment by a referred investor in a Product in Schedule A, at or above the applicable minimum ticket, that is accepted and onboarded by the product provider through Kalviro.</w:t>
      </w:r>
    </w:p>
    <w:p>
      <w:pPr>
        <w:spacing w:before="40" w:after="120" w:line="276" w:lineRule="auto"/>
        <w:ind w:left="85"/>
        <w:jc w:val="both"/>
      </w:pPr>
      <w:r>
        <w:rPr>
          <w:rFonts w:ascii="Calibri" w:hAnsi="Calibri" w:cs="Calibri"/>
          <w:b/>
          <w:i w:val="0"/>
          <w:color w:val="1F6B3A"/>
          <w:sz w:val="22"/>
        </w:rPr>
        <w:t xml:space="preserve">2.4    </w:t>
      </w:r>
      <w:r>
        <w:rPr>
          <w:rFonts w:ascii="Calibri" w:hAnsi="Calibri" w:cs="Calibri"/>
          <w:b w:val="0"/>
          <w:i w:val="0"/>
          <w:color w:val="1A1F1C"/>
          <w:sz w:val="22"/>
        </w:rPr>
        <w:t>“Qualifying Referral” means a referred investor who (a) was first introduced to Kalviro by the Partner using the Partner’s referral code, Partner Office lead, or written intimation accepted by Kalviro; (b) completes investor onboarding and KYC with Kalviro; and (c) makes a Qualifying Investment within the Referral Validity Period, as confirmed in writing by Kalviro.</w:t>
      </w:r>
    </w:p>
    <w:p>
      <w:pPr>
        <w:spacing w:before="40" w:after="120" w:line="276" w:lineRule="auto"/>
        <w:ind w:left="85"/>
        <w:jc w:val="both"/>
      </w:pPr>
      <w:r>
        <w:rPr>
          <w:rFonts w:ascii="Calibri" w:hAnsi="Calibri" w:cs="Calibri"/>
          <w:b/>
          <w:i w:val="0"/>
          <w:color w:val="1F6B3A"/>
          <w:sz w:val="22"/>
        </w:rPr>
        <w:t xml:space="preserve">2.5    </w:t>
      </w:r>
      <w:r>
        <w:rPr>
          <w:rFonts w:ascii="Calibri" w:hAnsi="Calibri" w:cs="Calibri"/>
          <w:b w:val="0"/>
          <w:i w:val="0"/>
          <w:color w:val="1A1F1C"/>
          <w:sz w:val="22"/>
        </w:rPr>
        <w:t>“Referral Fee” means the amount payable by Kalviro to the Partner under Schedule B and any fund-specific written confirmation issued by Kalviro.</w:t>
      </w:r>
    </w:p>
    <w:p>
      <w:pPr>
        <w:spacing w:before="40" w:after="120" w:line="276" w:lineRule="auto"/>
        <w:ind w:left="85"/>
        <w:jc w:val="both"/>
      </w:pPr>
      <w:r>
        <w:rPr>
          <w:rFonts w:ascii="Calibri" w:hAnsi="Calibri" w:cs="Calibri"/>
          <w:b/>
          <w:i w:val="0"/>
          <w:color w:val="1F6B3A"/>
          <w:sz w:val="22"/>
        </w:rPr>
        <w:t xml:space="preserve">2.6    </w:t>
      </w:r>
      <w:r>
        <w:rPr>
          <w:rFonts w:ascii="Calibri" w:hAnsi="Calibri" w:cs="Calibri"/>
          <w:b w:val="0"/>
          <w:i w:val="0"/>
          <w:color w:val="1A1F1C"/>
          <w:sz w:val="22"/>
        </w:rPr>
        <w:t>“Referral Validity Period” means twelve (12) months from the date Kalviro acknowledges the referral in writing, unless Kalviro extends it in writing.</w:t>
      </w:r>
    </w:p>
    <w:p>
      <w:pPr>
        <w:spacing w:before="40" w:after="120" w:line="276" w:lineRule="auto"/>
        <w:ind w:left="85"/>
        <w:jc w:val="both"/>
      </w:pPr>
      <w:r>
        <w:rPr>
          <w:rFonts w:ascii="Calibri" w:hAnsi="Calibri" w:cs="Calibri"/>
          <w:b/>
          <w:i w:val="0"/>
          <w:color w:val="1F6B3A"/>
          <w:sz w:val="22"/>
        </w:rPr>
        <w:t xml:space="preserve">2.7    </w:t>
      </w:r>
      <w:r>
        <w:rPr>
          <w:rFonts w:ascii="Calibri" w:hAnsi="Calibri" w:cs="Calibri"/>
          <w:b w:val="0"/>
          <w:i w:val="0"/>
          <w:color w:val="1A1F1C"/>
          <w:sz w:val="22"/>
        </w:rPr>
        <w:t>“Partner Office” means Kalviro’s private partner portal at kalviroventures.com/partners (or any successor URL notified by Kalviro).</w:t>
      </w:r>
    </w:p>
    <w:p>
      <w:pPr>
        <w:spacing w:before="280" w:after="120" w:line="276" w:lineRule="auto"/>
        <w:jc w:val="left"/>
        <w:pBdr>
          <w:bottom w:val="single" w:sz="6" w:space="1" w:color="C8D4CC"/>
        </w:pBdr>
      </w:pPr>
      <w:r>
        <w:rPr>
          <w:rFonts w:ascii="Calibri" w:hAnsi="Calibri" w:cs="Calibri"/>
          <w:b/>
          <w:i w:val="0"/>
          <w:color w:val="0F3D24"/>
          <w:sz w:val="24"/>
        </w:rPr>
        <w:t>3.  APPOINTMENT AND SCOPE</w:t>
      </w:r>
    </w:p>
    <w:p>
      <w:pPr>
        <w:spacing w:before="40" w:after="120" w:line="276" w:lineRule="auto"/>
        <w:ind w:left="85"/>
        <w:jc w:val="both"/>
      </w:pPr>
      <w:r>
        <w:rPr>
          <w:rFonts w:ascii="Calibri" w:hAnsi="Calibri" w:cs="Calibri"/>
          <w:b/>
          <w:i w:val="0"/>
          <w:color w:val="1F6B3A"/>
          <w:sz w:val="22"/>
        </w:rPr>
        <w:t xml:space="preserve">3.1    </w:t>
      </w:r>
      <w:r>
        <w:rPr>
          <w:rFonts w:ascii="Calibri" w:hAnsi="Calibri" w:cs="Calibri"/>
          <w:b w:val="0"/>
          <w:i w:val="0"/>
          <w:color w:val="1A1F1C"/>
          <w:sz w:val="22"/>
        </w:rPr>
        <w:t>Kalviro appoints the Partner as a non-exclusive introducer for the Products. Kalviro may appoint other introducers, and the Partner may introduce investors to other platforms, provided the Partner complies with Applicable Law and this Agreement.</w:t>
      </w:r>
    </w:p>
    <w:p>
      <w:pPr>
        <w:spacing w:before="40" w:after="120" w:line="276" w:lineRule="auto"/>
        <w:ind w:left="85"/>
        <w:jc w:val="both"/>
      </w:pPr>
      <w:r>
        <w:rPr>
          <w:rFonts w:ascii="Calibri" w:hAnsi="Calibri" w:cs="Calibri"/>
          <w:b/>
          <w:i w:val="0"/>
          <w:color w:val="1F6B3A"/>
          <w:sz w:val="22"/>
        </w:rPr>
        <w:t xml:space="preserve">3.2    </w:t>
      </w:r>
      <w:r>
        <w:rPr>
          <w:rFonts w:ascii="Calibri" w:hAnsi="Calibri" w:cs="Calibri"/>
          <w:b w:val="0"/>
          <w:i w:val="0"/>
          <w:color w:val="1A1F1C"/>
          <w:sz w:val="22"/>
        </w:rPr>
        <w:t>The Partner may refer investors by sharing the Partner’s referral code, a written introduction to info@kalviroventures.com, or a lead submitted through the Partner Office.</w:t>
      </w:r>
    </w:p>
    <w:p>
      <w:pPr>
        <w:spacing w:before="40" w:after="120" w:line="276" w:lineRule="auto"/>
        <w:ind w:left="85"/>
        <w:jc w:val="both"/>
      </w:pPr>
      <w:r>
        <w:rPr>
          <w:rFonts w:ascii="Calibri" w:hAnsi="Calibri" w:cs="Calibri"/>
          <w:b/>
          <w:i w:val="0"/>
          <w:color w:val="1F6B3A"/>
          <w:sz w:val="22"/>
        </w:rPr>
        <w:t xml:space="preserve">3.3    </w:t>
      </w:r>
      <w:r>
        <w:rPr>
          <w:rFonts w:ascii="Calibri" w:hAnsi="Calibri" w:cs="Calibri"/>
          <w:b w:val="0"/>
          <w:i w:val="0"/>
          <w:color w:val="1A1F1C"/>
          <w:sz w:val="22"/>
        </w:rPr>
        <w:t>The Partner’s role is limited to introduction. Investor onboarding, suitability, documentation, regulatory disclosure and execution are undertaken solely by Kalviro (and, where applicable, the product provider).</w:t>
      </w:r>
    </w:p>
    <w:p>
      <w:pPr>
        <w:spacing w:before="40" w:after="120" w:line="276" w:lineRule="auto"/>
        <w:ind w:left="85"/>
        <w:jc w:val="both"/>
      </w:pPr>
      <w:r>
        <w:rPr>
          <w:rFonts w:ascii="Calibri" w:hAnsi="Calibri" w:cs="Calibri"/>
          <w:b/>
          <w:i w:val="0"/>
          <w:color w:val="1F6B3A"/>
          <w:sz w:val="22"/>
        </w:rPr>
        <w:t xml:space="preserve">3.4    </w:t>
      </w:r>
      <w:r>
        <w:rPr>
          <w:rFonts w:ascii="Calibri" w:hAnsi="Calibri" w:cs="Calibri"/>
          <w:b w:val="0"/>
          <w:i w:val="0"/>
          <w:color w:val="1A1F1C"/>
          <w:sz w:val="22"/>
        </w:rPr>
        <w:t>The Partner shall not hold itself out as a SEBI-registered intermediary, APMI-registered PMS distributor, investment adviser, or authorised representative of Kalviro or of any product provider, unless separately registered and authorised in writing.</w:t>
      </w:r>
    </w:p>
    <w:p>
      <w:pPr>
        <w:spacing w:before="280" w:after="120" w:line="276" w:lineRule="auto"/>
        <w:jc w:val="left"/>
        <w:pBdr>
          <w:bottom w:val="single" w:sz="6" w:space="1" w:color="C8D4CC"/>
        </w:pBdr>
      </w:pPr>
      <w:r>
        <w:rPr>
          <w:rFonts w:ascii="Calibri" w:hAnsi="Calibri" w:cs="Calibri"/>
          <w:b/>
          <w:i w:val="0"/>
          <w:color w:val="0F3D24"/>
          <w:sz w:val="24"/>
        </w:rPr>
        <w:t>4.  PARTNER OBLIGATIONS</w:t>
      </w:r>
    </w:p>
    <w:p>
      <w:pPr>
        <w:spacing w:before="40" w:after="120" w:line="276" w:lineRule="auto"/>
        <w:ind w:left="85"/>
        <w:jc w:val="both"/>
      </w:pPr>
      <w:r>
        <w:rPr>
          <w:rFonts w:ascii="Calibri" w:hAnsi="Calibri" w:cs="Calibri"/>
          <w:b/>
          <w:i w:val="0"/>
          <w:color w:val="1F6B3A"/>
          <w:sz w:val="22"/>
        </w:rPr>
        <w:t xml:space="preserve">4.1    </w:t>
      </w:r>
      <w:r>
        <w:rPr>
          <w:rFonts w:ascii="Calibri" w:hAnsi="Calibri" w:cs="Calibri"/>
          <w:b w:val="0"/>
          <w:i w:val="0"/>
          <w:color w:val="1A1F1C"/>
          <w:sz w:val="22"/>
        </w:rPr>
        <w:t>The Partner shall:</w:t>
      </w:r>
    </w:p>
    <w:p>
      <w:pPr>
        <w:spacing w:before="0" w:after="80" w:line="276" w:lineRule="auto"/>
        <w:ind w:left="340"/>
        <w:jc w:val="both"/>
      </w:pPr>
      <w:r>
        <w:rPr>
          <w:rFonts w:ascii="Calibri" w:hAnsi="Calibri" w:cs="Calibri"/>
          <w:b w:val="0"/>
          <w:i w:val="0"/>
          <w:color w:val="1F6B3A"/>
          <w:sz w:val="22"/>
        </w:rPr>
        <w:t xml:space="preserve">•    </w:t>
      </w:r>
      <w:r>
        <w:rPr>
          <w:rFonts w:ascii="Calibri" w:hAnsi="Calibri" w:cs="Calibri"/>
          <w:b w:val="0"/>
          <w:i w:val="0"/>
          <w:color w:val="1A1F1C"/>
          <w:sz w:val="22"/>
        </w:rPr>
        <w:t>provide true, complete and current information, and notify Kalviro promptly of any change;</w:t>
      </w:r>
    </w:p>
    <w:p>
      <w:pPr>
        <w:spacing w:before="0" w:after="80" w:line="276" w:lineRule="auto"/>
        <w:ind w:left="340"/>
        <w:jc w:val="both"/>
      </w:pPr>
      <w:r>
        <w:rPr>
          <w:rFonts w:ascii="Calibri" w:hAnsi="Calibri" w:cs="Calibri"/>
          <w:b w:val="0"/>
          <w:i w:val="0"/>
          <w:color w:val="1F6B3A"/>
          <w:sz w:val="22"/>
        </w:rPr>
        <w:t xml:space="preserve">•    </w:t>
      </w:r>
      <w:r>
        <w:rPr>
          <w:rFonts w:ascii="Calibri" w:hAnsi="Calibri" w:cs="Calibri"/>
          <w:b w:val="0"/>
          <w:i w:val="0"/>
          <w:color w:val="1A1F1C"/>
          <w:sz w:val="22"/>
        </w:rPr>
        <w:t>refer only persons the Partner reasonably believes may meet product eligibility;</w:t>
      </w:r>
    </w:p>
    <w:p>
      <w:pPr>
        <w:spacing w:before="0" w:after="80" w:line="276" w:lineRule="auto"/>
        <w:ind w:left="340"/>
        <w:jc w:val="both"/>
      </w:pPr>
      <w:r>
        <w:rPr>
          <w:rFonts w:ascii="Calibri" w:hAnsi="Calibri" w:cs="Calibri"/>
          <w:b w:val="0"/>
          <w:i w:val="0"/>
          <w:color w:val="1F6B3A"/>
          <w:sz w:val="22"/>
        </w:rPr>
        <w:t xml:space="preserve">•    </w:t>
      </w:r>
      <w:r>
        <w:rPr>
          <w:rFonts w:ascii="Calibri" w:hAnsi="Calibri" w:cs="Calibri"/>
          <w:b w:val="0"/>
          <w:i w:val="0"/>
          <w:color w:val="1A1F1C"/>
          <w:sz w:val="22"/>
        </w:rPr>
        <w:t>use only Kalviro-approved materials when describing Kalviro or the Products;</w:t>
      </w:r>
    </w:p>
    <w:p>
      <w:pPr>
        <w:spacing w:before="0" w:after="80" w:line="276" w:lineRule="auto"/>
        <w:ind w:left="340"/>
        <w:jc w:val="both"/>
      </w:pPr>
      <w:r>
        <w:rPr>
          <w:rFonts w:ascii="Calibri" w:hAnsi="Calibri" w:cs="Calibri"/>
          <w:b w:val="0"/>
          <w:i w:val="0"/>
          <w:color w:val="1F6B3A"/>
          <w:sz w:val="22"/>
        </w:rPr>
        <w:t xml:space="preserve">•    </w:t>
      </w:r>
      <w:r>
        <w:rPr>
          <w:rFonts w:ascii="Calibri" w:hAnsi="Calibri" w:cs="Calibri"/>
          <w:b w:val="0"/>
          <w:i w:val="0"/>
          <w:color w:val="1A1F1C"/>
          <w:sz w:val="22"/>
        </w:rPr>
        <w:t>comply with Applicable Law, including anti-money-laundering and anti-bribery requirements; and</w:t>
      </w:r>
    </w:p>
    <w:p>
      <w:pPr>
        <w:spacing w:before="0" w:after="80" w:line="276" w:lineRule="auto"/>
        <w:ind w:left="340"/>
        <w:jc w:val="both"/>
      </w:pPr>
      <w:r>
        <w:rPr>
          <w:rFonts w:ascii="Calibri" w:hAnsi="Calibri" w:cs="Calibri"/>
          <w:b w:val="0"/>
          <w:i w:val="0"/>
          <w:color w:val="1F6B3A"/>
          <w:sz w:val="22"/>
        </w:rPr>
        <w:t xml:space="preserve">•    </w:t>
      </w:r>
      <w:r>
        <w:rPr>
          <w:rFonts w:ascii="Calibri" w:hAnsi="Calibri" w:cs="Calibri"/>
          <w:b w:val="0"/>
          <w:i w:val="0"/>
          <w:color w:val="1A1F1C"/>
          <w:sz w:val="22"/>
        </w:rPr>
        <w:t>comply with the Code of Conduct in Annexure 1.</w:t>
      </w:r>
    </w:p>
    <w:p>
      <w:pPr>
        <w:spacing w:before="40" w:after="120" w:line="276" w:lineRule="auto"/>
        <w:ind w:left="85"/>
        <w:jc w:val="both"/>
      </w:pPr>
      <w:r>
        <w:rPr>
          <w:rFonts w:ascii="Calibri" w:hAnsi="Calibri" w:cs="Calibri"/>
          <w:b/>
          <w:i w:val="0"/>
          <w:color w:val="1F6B3A"/>
          <w:sz w:val="22"/>
        </w:rPr>
        <w:t xml:space="preserve">4.2    </w:t>
      </w:r>
      <w:r>
        <w:rPr>
          <w:rFonts w:ascii="Calibri" w:hAnsi="Calibri" w:cs="Calibri"/>
          <w:b w:val="0"/>
          <w:i w:val="0"/>
          <w:color w:val="1A1F1C"/>
          <w:sz w:val="22"/>
        </w:rPr>
        <w:t>The Partner shall not:</w:t>
      </w:r>
    </w:p>
    <w:p>
      <w:pPr>
        <w:spacing w:before="0" w:after="80" w:line="276" w:lineRule="auto"/>
        <w:ind w:left="340"/>
        <w:jc w:val="both"/>
      </w:pPr>
      <w:r>
        <w:rPr>
          <w:rFonts w:ascii="Calibri" w:hAnsi="Calibri" w:cs="Calibri"/>
          <w:b w:val="0"/>
          <w:i w:val="0"/>
          <w:color w:val="1F6B3A"/>
          <w:sz w:val="22"/>
        </w:rPr>
        <w:t xml:space="preserve">•    </w:t>
      </w:r>
      <w:r>
        <w:rPr>
          <w:rFonts w:ascii="Calibri" w:hAnsi="Calibri" w:cs="Calibri"/>
          <w:b w:val="0"/>
          <w:i w:val="0"/>
          <w:color w:val="1A1F1C"/>
          <w:sz w:val="22"/>
        </w:rPr>
        <w:t>guarantee returns, assure capital safety, or make any misleading statement about a Product;</w:t>
      </w:r>
    </w:p>
    <w:p>
      <w:pPr>
        <w:spacing w:before="0" w:after="80" w:line="276" w:lineRule="auto"/>
        <w:ind w:left="340"/>
        <w:jc w:val="both"/>
      </w:pPr>
      <w:r>
        <w:rPr>
          <w:rFonts w:ascii="Calibri" w:hAnsi="Calibri" w:cs="Calibri"/>
          <w:b w:val="0"/>
          <w:i w:val="0"/>
          <w:color w:val="1F6B3A"/>
          <w:sz w:val="22"/>
        </w:rPr>
        <w:t xml:space="preserve">•    </w:t>
      </w:r>
      <w:r>
        <w:rPr>
          <w:rFonts w:ascii="Calibri" w:hAnsi="Calibri" w:cs="Calibri"/>
          <w:b w:val="0"/>
          <w:i w:val="0"/>
          <w:color w:val="1A1F1C"/>
          <w:sz w:val="22"/>
        </w:rPr>
        <w:t>give investment advice, product recommendations or suitability analysis, unless independently registered and permitted by law;</w:t>
      </w:r>
    </w:p>
    <w:p>
      <w:pPr>
        <w:spacing w:before="0" w:after="80" w:line="276" w:lineRule="auto"/>
        <w:ind w:left="340"/>
        <w:jc w:val="both"/>
      </w:pPr>
      <w:r>
        <w:rPr>
          <w:rFonts w:ascii="Calibri" w:hAnsi="Calibri" w:cs="Calibri"/>
          <w:b w:val="0"/>
          <w:i w:val="0"/>
          <w:color w:val="1F6B3A"/>
          <w:sz w:val="22"/>
        </w:rPr>
        <w:t xml:space="preserve">•    </w:t>
      </w:r>
      <w:r>
        <w:rPr>
          <w:rFonts w:ascii="Calibri" w:hAnsi="Calibri" w:cs="Calibri"/>
          <w:b w:val="0"/>
          <w:i w:val="0"/>
          <w:color w:val="1A1F1C"/>
          <w:sz w:val="22"/>
        </w:rPr>
        <w:t>collect investor monies, cheques, application forms or KYC documents on behalf of Kalviro, unless Kalviro authorises that act in writing for a named transaction; or</w:t>
      </w:r>
    </w:p>
    <w:p>
      <w:pPr>
        <w:spacing w:before="0" w:after="80" w:line="276" w:lineRule="auto"/>
        <w:ind w:left="340"/>
        <w:jc w:val="both"/>
      </w:pPr>
      <w:r>
        <w:rPr>
          <w:rFonts w:ascii="Calibri" w:hAnsi="Calibri" w:cs="Calibri"/>
          <w:b w:val="0"/>
          <w:i w:val="0"/>
          <w:color w:val="1F6B3A"/>
          <w:sz w:val="22"/>
        </w:rPr>
        <w:t xml:space="preserve">•    </w:t>
      </w:r>
      <w:r>
        <w:rPr>
          <w:rFonts w:ascii="Calibri" w:hAnsi="Calibri" w:cs="Calibri"/>
          <w:b w:val="0"/>
          <w:i w:val="0"/>
          <w:color w:val="1A1F1C"/>
          <w:sz w:val="22"/>
        </w:rPr>
        <w:t>refer, solicit or market a specific fund until the Partner has accepted Kalviro’s written fund-specific terms under Clause 6.3.</w:t>
      </w:r>
    </w:p>
    <w:p>
      <w:pPr>
        <w:spacing w:before="280" w:after="120" w:line="276" w:lineRule="auto"/>
        <w:jc w:val="left"/>
        <w:pBdr>
          <w:bottom w:val="single" w:sz="6" w:space="1" w:color="C8D4CC"/>
        </w:pBdr>
      </w:pPr>
      <w:r>
        <w:rPr>
          <w:rFonts w:ascii="Calibri" w:hAnsi="Calibri" w:cs="Calibri"/>
          <w:b/>
          <w:i w:val="0"/>
          <w:color w:val="0F3D24"/>
          <w:sz w:val="24"/>
        </w:rPr>
        <w:t>5.  REFERRAL PROCESS</w:t>
      </w:r>
    </w:p>
    <w:p>
      <w:pPr>
        <w:spacing w:before="40" w:after="120" w:line="276" w:lineRule="auto"/>
        <w:ind w:left="85"/>
        <w:jc w:val="both"/>
      </w:pPr>
      <w:r>
        <w:rPr>
          <w:rFonts w:ascii="Calibri" w:hAnsi="Calibri" w:cs="Calibri"/>
          <w:b/>
          <w:i w:val="0"/>
          <w:color w:val="1F6B3A"/>
          <w:sz w:val="22"/>
        </w:rPr>
        <w:t xml:space="preserve">5.1    </w:t>
      </w:r>
      <w:r>
        <w:rPr>
          <w:rFonts w:ascii="Calibri" w:hAnsi="Calibri" w:cs="Calibri"/>
          <w:b w:val="0"/>
          <w:i w:val="0"/>
          <w:color w:val="1A1F1C"/>
          <w:sz w:val="22"/>
        </w:rPr>
        <w:t>The Partner submits the investor’s name, contact details and product interest through the Partner Office or to info@kalviroventures.com.</w:t>
      </w:r>
    </w:p>
    <w:p>
      <w:pPr>
        <w:spacing w:before="40" w:after="120" w:line="276" w:lineRule="auto"/>
        <w:ind w:left="85"/>
        <w:jc w:val="both"/>
      </w:pPr>
      <w:r>
        <w:rPr>
          <w:rFonts w:ascii="Calibri" w:hAnsi="Calibri" w:cs="Calibri"/>
          <w:b/>
          <w:i w:val="0"/>
          <w:color w:val="1F6B3A"/>
          <w:sz w:val="22"/>
        </w:rPr>
        <w:t xml:space="preserve">5.2    </w:t>
      </w:r>
      <w:r>
        <w:rPr>
          <w:rFonts w:ascii="Calibri" w:hAnsi="Calibri" w:cs="Calibri"/>
          <w:b w:val="0"/>
          <w:i w:val="0"/>
          <w:color w:val="1A1F1C"/>
          <w:sz w:val="22"/>
        </w:rPr>
        <w:t>Kalviro acknowledges the referral in writing and may assign a tracking reference. Kalviro then contacts the investor and conducts regulated onboarding.</w:t>
      </w:r>
    </w:p>
    <w:p>
      <w:pPr>
        <w:spacing w:before="40" w:after="120" w:line="276" w:lineRule="auto"/>
        <w:ind w:left="85"/>
        <w:jc w:val="both"/>
      </w:pPr>
      <w:r>
        <w:rPr>
          <w:rFonts w:ascii="Calibri" w:hAnsi="Calibri" w:cs="Calibri"/>
          <w:b/>
          <w:i w:val="0"/>
          <w:color w:val="1F6B3A"/>
          <w:sz w:val="22"/>
        </w:rPr>
        <w:t xml:space="preserve">5.3    </w:t>
      </w:r>
      <w:r>
        <w:rPr>
          <w:rFonts w:ascii="Calibri" w:hAnsi="Calibri" w:cs="Calibri"/>
          <w:b w:val="0"/>
          <w:i w:val="0"/>
          <w:color w:val="1A1F1C"/>
          <w:sz w:val="22"/>
        </w:rPr>
        <w:t>If the investor completes a Qualifying Investment within the Referral Validity Period, Kalviro records it as a Qualifying Referral attributable to the Partner.</w:t>
      </w:r>
    </w:p>
    <w:p>
      <w:pPr>
        <w:spacing w:before="40" w:after="120" w:line="276" w:lineRule="auto"/>
        <w:ind w:left="85"/>
        <w:jc w:val="both"/>
      </w:pPr>
      <w:r>
        <w:rPr>
          <w:rFonts w:ascii="Calibri" w:hAnsi="Calibri" w:cs="Calibri"/>
          <w:b/>
          <w:i w:val="0"/>
          <w:color w:val="1F6B3A"/>
          <w:sz w:val="22"/>
        </w:rPr>
        <w:t xml:space="preserve">5.4    </w:t>
      </w:r>
      <w:r>
        <w:rPr>
          <w:rFonts w:ascii="Calibri" w:hAnsi="Calibri" w:cs="Calibri"/>
          <w:b w:val="0"/>
          <w:i w:val="0"/>
          <w:color w:val="1A1F1C"/>
          <w:sz w:val="22"/>
        </w:rPr>
        <w:t>If the investor was already in active discussion with Kalviro before the referral, Kalviro may exclude the referral at its reasonable discretion and will notify the Partner.</w:t>
      </w:r>
    </w:p>
    <w:p>
      <w:pPr>
        <w:spacing w:before="280" w:after="120" w:line="276" w:lineRule="auto"/>
        <w:jc w:val="left"/>
        <w:pBdr>
          <w:bottom w:val="single" w:sz="6" w:space="1" w:color="C8D4CC"/>
        </w:pBdr>
      </w:pPr>
      <w:r>
        <w:rPr>
          <w:rFonts w:ascii="Calibri" w:hAnsi="Calibri" w:cs="Calibri"/>
          <w:b/>
          <w:i w:val="0"/>
          <w:color w:val="0F3D24"/>
          <w:sz w:val="24"/>
        </w:rPr>
        <w:t>6.  REFERRAL FEE AND PAYMENT</w:t>
      </w:r>
    </w:p>
    <w:p>
      <w:pPr>
        <w:spacing w:before="40" w:after="120" w:line="276" w:lineRule="auto"/>
        <w:ind w:left="85"/>
        <w:jc w:val="both"/>
      </w:pPr>
      <w:r>
        <w:rPr>
          <w:rFonts w:ascii="Calibri" w:hAnsi="Calibri" w:cs="Calibri"/>
          <w:b/>
          <w:i w:val="0"/>
          <w:color w:val="1F6B3A"/>
          <w:sz w:val="22"/>
        </w:rPr>
        <w:t xml:space="preserve">6.1    </w:t>
      </w:r>
      <w:r>
        <w:rPr>
          <w:rFonts w:ascii="Calibri" w:hAnsi="Calibri" w:cs="Calibri"/>
          <w:b w:val="0"/>
          <w:i w:val="0"/>
          <w:color w:val="1A1F1C"/>
          <w:sz w:val="22"/>
        </w:rPr>
        <w:t>Subject to this Agreement, Kalviro may pay the Partner a Referral Fee equal to the applicable share of Net Revenue on each Qualifying Referral, as set out in Schedule B.</w:t>
      </w:r>
    </w:p>
    <w:p>
      <w:pPr>
        <w:spacing w:before="40" w:after="120" w:line="276" w:lineRule="auto"/>
        <w:ind w:left="85"/>
        <w:jc w:val="both"/>
      </w:pPr>
      <w:r>
        <w:rPr>
          <w:rFonts w:ascii="Calibri" w:hAnsi="Calibri" w:cs="Calibri"/>
          <w:b/>
          <w:i w:val="0"/>
          <w:color w:val="1F6B3A"/>
          <w:sz w:val="22"/>
        </w:rPr>
        <w:t xml:space="preserve">6.2    </w:t>
      </w:r>
      <w:r>
        <w:rPr>
          <w:rFonts w:ascii="Calibri" w:hAnsi="Calibri" w:cs="Calibri"/>
          <w:b w:val="0"/>
          <w:i w:val="0"/>
          <w:color w:val="1A1F1C"/>
          <w:sz w:val="22"/>
        </w:rPr>
        <w:t>Unless a different percentage is confirmed in writing for a named fund or Product, the default share is fifty percent (50%) of Net Revenue actually received by Kalviro.</w:t>
      </w:r>
    </w:p>
    <w:p>
      <w:pPr>
        <w:spacing w:before="40" w:after="120" w:line="276" w:lineRule="auto"/>
        <w:ind w:left="85"/>
        <w:jc w:val="both"/>
      </w:pPr>
      <w:r>
        <w:rPr>
          <w:rFonts w:ascii="Calibri" w:hAnsi="Calibri" w:cs="Calibri"/>
          <w:b/>
          <w:i w:val="0"/>
          <w:color w:val="1F6B3A"/>
          <w:sz w:val="22"/>
        </w:rPr>
        <w:t xml:space="preserve">6.3    </w:t>
      </w:r>
      <w:r>
        <w:rPr>
          <w:rFonts w:ascii="Calibri" w:hAnsi="Calibri" w:cs="Calibri"/>
          <w:b w:val="0"/>
          <w:i w:val="0"/>
          <w:color w:val="1A1F1C"/>
          <w:sz w:val="22"/>
        </w:rPr>
        <w:t>For each fund, strategy or Product, Kalviro may disclose in writing (including by email) the applicable share, trail structure, eligibility and exclusions. The Partner must reply with express acceptance before referring that fund. Kalviro will not activate Partner Office permission or fund-specific referral tracking for that Product until that acceptance is recorded.</w:t>
      </w:r>
    </w:p>
    <w:p>
      <w:pPr>
        <w:spacing w:before="40" w:after="120" w:line="276" w:lineRule="auto"/>
        <w:ind w:left="85"/>
        <w:jc w:val="both"/>
      </w:pPr>
      <w:r>
        <w:rPr>
          <w:rFonts w:ascii="Calibri" w:hAnsi="Calibri" w:cs="Calibri"/>
          <w:b/>
          <w:i w:val="0"/>
          <w:color w:val="1F6B3A"/>
          <w:sz w:val="22"/>
        </w:rPr>
        <w:t xml:space="preserve">6.4    </w:t>
      </w:r>
      <w:r>
        <w:rPr>
          <w:rFonts w:ascii="Calibri" w:hAnsi="Calibri" w:cs="Calibri"/>
          <w:b w:val="0"/>
          <w:i w:val="0"/>
          <w:color w:val="1A1F1C"/>
          <w:sz w:val="22"/>
        </w:rPr>
        <w:t>Referral Fees are payable only on amounts actually received by Kalviro. No fee is payable on commitments, applications, unfunded transactions, or investments that are rejected, cancelled, reversed or refunded.</w:t>
      </w:r>
    </w:p>
    <w:p>
      <w:pPr>
        <w:spacing w:before="40" w:after="120" w:line="276" w:lineRule="auto"/>
        <w:ind w:left="85"/>
        <w:jc w:val="both"/>
      </w:pPr>
      <w:r>
        <w:rPr>
          <w:rFonts w:ascii="Calibri" w:hAnsi="Calibri" w:cs="Calibri"/>
          <w:b/>
          <w:i w:val="0"/>
          <w:color w:val="1F6B3A"/>
          <w:sz w:val="22"/>
        </w:rPr>
        <w:t xml:space="preserve">6.5    </w:t>
      </w:r>
      <w:r>
        <w:rPr>
          <w:rFonts w:ascii="Calibri" w:hAnsi="Calibri" w:cs="Calibri"/>
          <w:b w:val="0"/>
          <w:i w:val="0"/>
          <w:color w:val="1A1F1C"/>
          <w:sz w:val="22"/>
        </w:rPr>
        <w:t>Kalviro shall pay Referral Fees quarterly, within thirty (30) days after the end of the calendar quarter in which Kalviro receives the corresponding Net Revenue (or any longer cycle inherent in the AMC’s payment schedule, as Kalviro communicates). Multiple funds or clients may be paid in one statement.</w:t>
      </w:r>
    </w:p>
    <w:p>
      <w:pPr>
        <w:spacing w:before="40" w:after="120" w:line="276" w:lineRule="auto"/>
        <w:ind w:left="85"/>
        <w:jc w:val="both"/>
      </w:pPr>
      <w:r>
        <w:rPr>
          <w:rFonts w:ascii="Calibri" w:hAnsi="Calibri" w:cs="Calibri"/>
          <w:b/>
          <w:i w:val="0"/>
          <w:color w:val="1F6B3A"/>
          <w:sz w:val="22"/>
        </w:rPr>
        <w:t xml:space="preserve">6.6    </w:t>
      </w:r>
      <w:r>
        <w:rPr>
          <w:rFonts w:ascii="Calibri" w:hAnsi="Calibri" w:cs="Calibri"/>
          <w:b w:val="0"/>
          <w:i w:val="0"/>
          <w:color w:val="1A1F1C"/>
          <w:sz w:val="22"/>
        </w:rPr>
        <w:t>Kalviro may deduct tax at source under the Income-tax Act, 1961 (including Section 194H, as applicable) and issue the prescribed certificate.</w:t>
      </w:r>
    </w:p>
    <w:p>
      <w:pPr>
        <w:spacing w:before="40" w:after="120" w:line="276" w:lineRule="auto"/>
        <w:ind w:left="85"/>
        <w:jc w:val="both"/>
      </w:pPr>
      <w:r>
        <w:rPr>
          <w:rFonts w:ascii="Calibri" w:hAnsi="Calibri" w:cs="Calibri"/>
          <w:b/>
          <w:i w:val="0"/>
          <w:color w:val="1F6B3A"/>
          <w:sz w:val="22"/>
        </w:rPr>
        <w:t xml:space="preserve">6.7    </w:t>
      </w:r>
      <w:r>
        <w:rPr>
          <w:rFonts w:ascii="Calibri" w:hAnsi="Calibri" w:cs="Calibri"/>
          <w:b w:val="0"/>
          <w:i w:val="0"/>
          <w:color w:val="1A1F1C"/>
          <w:sz w:val="22"/>
        </w:rPr>
        <w:t>Payment is made only to the Partner’s nominated bank account after Partner KYC, execution of this Agreement, and satisfactory compliance review.</w:t>
      </w:r>
    </w:p>
    <w:p>
      <w:pPr>
        <w:spacing w:before="40" w:after="120" w:line="276" w:lineRule="auto"/>
        <w:ind w:left="85"/>
        <w:jc w:val="both"/>
      </w:pPr>
      <w:r>
        <w:rPr>
          <w:rFonts w:ascii="Calibri" w:hAnsi="Calibri" w:cs="Calibri"/>
          <w:b/>
          <w:i w:val="0"/>
          <w:color w:val="1F6B3A"/>
          <w:sz w:val="22"/>
        </w:rPr>
        <w:t xml:space="preserve">6.8    </w:t>
      </w:r>
      <w:r>
        <w:rPr>
          <w:rFonts w:ascii="Calibri" w:hAnsi="Calibri" w:cs="Calibri"/>
          <w:b w:val="0"/>
          <w:i w:val="0"/>
          <w:color w:val="1A1F1C"/>
          <w:sz w:val="22"/>
        </w:rPr>
        <w:t>Kalviro may withhold, suspend or set off Referral Fees if there is a dispute, regulatory inquiry, clawback, suspected mis-selling, incomplete documentation, or breach, until the matter is resolved.</w:t>
      </w:r>
    </w:p>
    <w:p>
      <w:pPr>
        <w:spacing w:before="280" w:after="120" w:line="276" w:lineRule="auto"/>
        <w:jc w:val="left"/>
        <w:pBdr>
          <w:bottom w:val="single" w:sz="6" w:space="1" w:color="C8D4CC"/>
        </w:pBdr>
      </w:pPr>
      <w:r>
        <w:rPr>
          <w:rFonts w:ascii="Calibri" w:hAnsi="Calibri" w:cs="Calibri"/>
          <w:b/>
          <w:i w:val="0"/>
          <w:color w:val="0F3D24"/>
          <w:sz w:val="24"/>
        </w:rPr>
        <w:t>7.  CLAWBACK AND SET-OFF</w:t>
      </w:r>
    </w:p>
    <w:p>
      <w:pPr>
        <w:spacing w:before="40" w:after="120" w:line="276" w:lineRule="auto"/>
        <w:ind w:left="85"/>
        <w:jc w:val="both"/>
      </w:pPr>
      <w:r>
        <w:rPr>
          <w:rFonts w:ascii="Calibri" w:hAnsi="Calibri" w:cs="Calibri"/>
          <w:b/>
          <w:i w:val="0"/>
          <w:color w:val="1F6B3A"/>
          <w:sz w:val="22"/>
        </w:rPr>
        <w:t xml:space="preserve">7.1    </w:t>
      </w:r>
      <w:r>
        <w:rPr>
          <w:rFonts w:ascii="Calibri" w:hAnsi="Calibri" w:cs="Calibri"/>
          <w:b w:val="0"/>
          <w:i w:val="0"/>
          <w:color w:val="1A1F1C"/>
          <w:sz w:val="22"/>
        </w:rPr>
        <w:t>If a Qualifying Investment is reversed, refunded or withdrawn within twelve (12) months of onboarding, or if Kalviro must refund any related fee to an AMC or investor, Kalviro may recover the corresponding Referral Fee from future payments or require repayment within fifteen (15) days of written demand.</w:t>
      </w:r>
    </w:p>
    <w:p>
      <w:pPr>
        <w:spacing w:before="40" w:after="120" w:line="276" w:lineRule="auto"/>
        <w:ind w:left="85"/>
        <w:jc w:val="both"/>
      </w:pPr>
      <w:r>
        <w:rPr>
          <w:rFonts w:ascii="Calibri" w:hAnsi="Calibri" w:cs="Calibri"/>
          <w:b/>
          <w:i w:val="0"/>
          <w:color w:val="1F6B3A"/>
          <w:sz w:val="22"/>
        </w:rPr>
        <w:t xml:space="preserve">7.2    </w:t>
      </w:r>
      <w:r>
        <w:rPr>
          <w:rFonts w:ascii="Calibri" w:hAnsi="Calibri" w:cs="Calibri"/>
          <w:b w:val="0"/>
          <w:i w:val="0"/>
          <w:color w:val="1A1F1C"/>
          <w:sz w:val="22"/>
        </w:rPr>
        <w:t>Kalviro may set off any amount the Partner owes Kalviro against any amount payable to the Partner under this Agreement.</w:t>
      </w:r>
    </w:p>
    <w:p>
      <w:pPr>
        <w:spacing w:before="280" w:after="120" w:line="276" w:lineRule="auto"/>
        <w:jc w:val="left"/>
        <w:pBdr>
          <w:bottom w:val="single" w:sz="6" w:space="1" w:color="C8D4CC"/>
        </w:pBdr>
      </w:pPr>
      <w:r>
        <w:rPr>
          <w:rFonts w:ascii="Calibri" w:hAnsi="Calibri" w:cs="Calibri"/>
          <w:b/>
          <w:i w:val="0"/>
          <w:color w:val="0F3D24"/>
          <w:sz w:val="24"/>
        </w:rPr>
        <w:t>8.  CONFIDENTIALITY AND DATA</w:t>
      </w:r>
    </w:p>
    <w:p>
      <w:pPr>
        <w:spacing w:before="40" w:after="120" w:line="276" w:lineRule="auto"/>
        <w:ind w:left="85"/>
        <w:jc w:val="both"/>
      </w:pPr>
      <w:r>
        <w:rPr>
          <w:rFonts w:ascii="Calibri" w:hAnsi="Calibri" w:cs="Calibri"/>
          <w:b/>
          <w:i w:val="0"/>
          <w:color w:val="1F6B3A"/>
          <w:sz w:val="22"/>
        </w:rPr>
        <w:t xml:space="preserve">8.1    </w:t>
      </w:r>
      <w:r>
        <w:rPr>
          <w:rFonts w:ascii="Calibri" w:hAnsi="Calibri" w:cs="Calibri"/>
          <w:b w:val="0"/>
          <w:i w:val="0"/>
          <w:color w:val="1A1F1C"/>
          <w:sz w:val="22"/>
        </w:rPr>
        <w:t>Each Party shall keep confidential all non-public information received from the other Party or from referred persons, except as required by law or a regulator.</w:t>
      </w:r>
    </w:p>
    <w:p>
      <w:pPr>
        <w:spacing w:before="40" w:after="120" w:line="276" w:lineRule="auto"/>
        <w:ind w:left="85"/>
        <w:jc w:val="both"/>
      </w:pPr>
      <w:r>
        <w:rPr>
          <w:rFonts w:ascii="Calibri" w:hAnsi="Calibri" w:cs="Calibri"/>
          <w:b/>
          <w:i w:val="0"/>
          <w:color w:val="1F6B3A"/>
          <w:sz w:val="22"/>
        </w:rPr>
        <w:t xml:space="preserve">8.2    </w:t>
      </w:r>
      <w:r>
        <w:rPr>
          <w:rFonts w:ascii="Calibri" w:hAnsi="Calibri" w:cs="Calibri"/>
          <w:b w:val="0"/>
          <w:i w:val="0"/>
          <w:color w:val="1A1F1C"/>
          <w:sz w:val="22"/>
        </w:rPr>
        <w:t>The Partner shall handle personal data only for the referral, in accordance with Applicable Law, and shall obtain any consent required before sharing that data with Kalviro. Investor data held by Kalviro is processed under Kalviro’s Privacy Policy, not for the Partner’s independent use.</w:t>
      </w:r>
    </w:p>
    <w:p>
      <w:pPr>
        <w:spacing w:before="40" w:after="120" w:line="276" w:lineRule="auto"/>
        <w:ind w:left="85"/>
        <w:jc w:val="both"/>
      </w:pPr>
      <w:r>
        <w:rPr>
          <w:rFonts w:ascii="Calibri" w:hAnsi="Calibri" w:cs="Calibri"/>
          <w:b/>
          <w:i w:val="0"/>
          <w:color w:val="1F6B3A"/>
          <w:sz w:val="22"/>
        </w:rPr>
        <w:t xml:space="preserve">8.3    </w:t>
      </w:r>
      <w:r>
        <w:rPr>
          <w:rFonts w:ascii="Calibri" w:hAnsi="Calibri" w:cs="Calibri"/>
          <w:b w:val="0"/>
          <w:i w:val="0"/>
          <w:color w:val="1A1F1C"/>
          <w:sz w:val="22"/>
        </w:rPr>
        <w:t>The Partner shall keep, for at least seven (7) years (or any longer period required by law), records reasonably necessary to evidence referrals and compliance with this Agreement, and shall produce them to Kalviro on reasonable written notice.</w:t>
      </w:r>
    </w:p>
    <w:p>
      <w:pPr>
        <w:spacing w:before="280" w:after="120" w:line="276" w:lineRule="auto"/>
        <w:jc w:val="left"/>
        <w:pBdr>
          <w:bottom w:val="single" w:sz="6" w:space="1" w:color="C8D4CC"/>
        </w:pBdr>
      </w:pPr>
      <w:r>
        <w:rPr>
          <w:rFonts w:ascii="Calibri" w:hAnsi="Calibri" w:cs="Calibri"/>
          <w:b/>
          <w:i w:val="0"/>
          <w:color w:val="0F3D24"/>
          <w:sz w:val="24"/>
        </w:rPr>
        <w:t>9.  TERM AND TERMINATION</w:t>
      </w:r>
    </w:p>
    <w:p>
      <w:pPr>
        <w:spacing w:before="40" w:after="120" w:line="276" w:lineRule="auto"/>
        <w:ind w:left="85"/>
        <w:jc w:val="both"/>
      </w:pPr>
      <w:r>
        <w:rPr>
          <w:rFonts w:ascii="Calibri" w:hAnsi="Calibri" w:cs="Calibri"/>
          <w:b/>
          <w:i w:val="0"/>
          <w:color w:val="1F6B3A"/>
          <w:sz w:val="22"/>
        </w:rPr>
        <w:t xml:space="preserve">9.1    </w:t>
      </w:r>
      <w:r>
        <w:rPr>
          <w:rFonts w:ascii="Calibri" w:hAnsi="Calibri" w:cs="Calibri"/>
          <w:b w:val="0"/>
          <w:i w:val="0"/>
          <w:color w:val="1A1F1C"/>
          <w:sz w:val="22"/>
        </w:rPr>
        <w:t>This Agreement starts on the Effective Date and continues until terminated.</w:t>
      </w:r>
    </w:p>
    <w:p>
      <w:pPr>
        <w:spacing w:before="40" w:after="120" w:line="276" w:lineRule="auto"/>
        <w:ind w:left="85"/>
        <w:jc w:val="both"/>
      </w:pPr>
      <w:r>
        <w:rPr>
          <w:rFonts w:ascii="Calibri" w:hAnsi="Calibri" w:cs="Calibri"/>
          <w:b/>
          <w:i w:val="0"/>
          <w:color w:val="1F6B3A"/>
          <w:sz w:val="22"/>
        </w:rPr>
        <w:t xml:space="preserve">9.2    </w:t>
      </w:r>
      <w:r>
        <w:rPr>
          <w:rFonts w:ascii="Calibri" w:hAnsi="Calibri" w:cs="Calibri"/>
          <w:b w:val="0"/>
          <w:i w:val="0"/>
          <w:color w:val="1A1F1C"/>
          <w:sz w:val="22"/>
        </w:rPr>
        <w:t>Either Party may terminate for convenience on thirty (30) days’ written notice.</w:t>
      </w:r>
    </w:p>
    <w:p>
      <w:pPr>
        <w:spacing w:before="40" w:after="120" w:line="276" w:lineRule="auto"/>
        <w:ind w:left="85"/>
        <w:jc w:val="both"/>
      </w:pPr>
      <w:r>
        <w:rPr>
          <w:rFonts w:ascii="Calibri" w:hAnsi="Calibri" w:cs="Calibri"/>
          <w:b/>
          <w:i w:val="0"/>
          <w:color w:val="1F6B3A"/>
          <w:sz w:val="22"/>
        </w:rPr>
        <w:t xml:space="preserve">9.3    </w:t>
      </w:r>
      <w:r>
        <w:rPr>
          <w:rFonts w:ascii="Calibri" w:hAnsi="Calibri" w:cs="Calibri"/>
          <w:b w:val="0"/>
          <w:i w:val="0"/>
          <w:color w:val="1A1F1C"/>
          <w:sz w:val="22"/>
        </w:rPr>
        <w:t>Kalviro may terminate with immediate effect for material breach, regulatory concern, mis-selling, or misrepresentation.</w:t>
      </w:r>
    </w:p>
    <w:p>
      <w:pPr>
        <w:spacing w:before="40" w:after="120" w:line="276" w:lineRule="auto"/>
        <w:ind w:left="85"/>
        <w:jc w:val="both"/>
      </w:pPr>
      <w:r>
        <w:rPr>
          <w:rFonts w:ascii="Calibri" w:hAnsi="Calibri" w:cs="Calibri"/>
          <w:b/>
          <w:i w:val="0"/>
          <w:color w:val="1F6B3A"/>
          <w:sz w:val="22"/>
        </w:rPr>
        <w:t xml:space="preserve">9.4    </w:t>
      </w:r>
      <w:r>
        <w:rPr>
          <w:rFonts w:ascii="Calibri" w:hAnsi="Calibri" w:cs="Calibri"/>
          <w:b w:val="0"/>
          <w:i w:val="0"/>
          <w:color w:val="1A1F1C"/>
          <w:sz w:val="22"/>
        </w:rPr>
        <w:t>Termination does not affect Referral Fees accrued on Qualifying Referrals completed before termination, subject to Clauses 6.8 and 7. Clauses 7, 8, 10, 11, 12, 14 and 15 survive termination.</w:t>
      </w:r>
    </w:p>
    <w:p>
      <w:pPr>
        <w:spacing w:before="280" w:after="120" w:line="276" w:lineRule="auto"/>
        <w:jc w:val="left"/>
        <w:pBdr>
          <w:bottom w:val="single" w:sz="6" w:space="1" w:color="C8D4CC"/>
        </w:pBdr>
      </w:pPr>
      <w:r>
        <w:rPr>
          <w:rFonts w:ascii="Calibri" w:hAnsi="Calibri" w:cs="Calibri"/>
          <w:b/>
          <w:i w:val="0"/>
          <w:color w:val="0F3D24"/>
          <w:sz w:val="24"/>
        </w:rPr>
        <w:t>10.  REPRESENTATIONS</w:t>
      </w:r>
    </w:p>
    <w:p>
      <w:pPr>
        <w:spacing w:before="40" w:after="120" w:line="276" w:lineRule="auto"/>
        <w:ind w:left="85"/>
        <w:jc w:val="both"/>
      </w:pPr>
      <w:r>
        <w:rPr>
          <w:rFonts w:ascii="Calibri" w:hAnsi="Calibri" w:cs="Calibri"/>
          <w:b/>
          <w:i w:val="0"/>
          <w:color w:val="1F6B3A"/>
          <w:sz w:val="22"/>
        </w:rPr>
        <w:t xml:space="preserve">10.1    </w:t>
      </w:r>
      <w:r>
        <w:rPr>
          <w:rFonts w:ascii="Calibri" w:hAnsi="Calibri" w:cs="Calibri"/>
          <w:b w:val="0"/>
          <w:i w:val="0"/>
          <w:color w:val="1A1F1C"/>
          <w:sz w:val="22"/>
        </w:rPr>
        <w:t>The Partner represents that: (a) it has full authority to enter this Agreement; (b) information given to Kalviro is true and complete; (c) it is not debarred by SEBI, APMI or any other regulator; (d) it is not a politically exposed person unless that fact has been disclosed in writing; and (e) it understands that it is an introducer only.</w:t>
      </w:r>
    </w:p>
    <w:p>
      <w:pPr>
        <w:spacing w:before="40" w:after="120" w:line="276" w:lineRule="auto"/>
        <w:ind w:left="85"/>
        <w:jc w:val="both"/>
      </w:pPr>
      <w:r>
        <w:rPr>
          <w:rFonts w:ascii="Calibri" w:hAnsi="Calibri" w:cs="Calibri"/>
          <w:b/>
          <w:i w:val="0"/>
          <w:color w:val="1F6B3A"/>
          <w:sz w:val="22"/>
        </w:rPr>
        <w:t xml:space="preserve">10.2    </w:t>
      </w:r>
      <w:r>
        <w:rPr>
          <w:rFonts w:ascii="Calibri" w:hAnsi="Calibri" w:cs="Calibri"/>
          <w:b w:val="0"/>
          <w:i w:val="0"/>
          <w:color w:val="1A1F1C"/>
          <w:sz w:val="22"/>
        </w:rPr>
        <w:t>Kalviro represents that it is duly organised and holds the registrations stated in this Agreement for the activities it undertakes.</w:t>
      </w:r>
    </w:p>
    <w:p>
      <w:pPr>
        <w:spacing w:before="280" w:after="120" w:line="276" w:lineRule="auto"/>
        <w:jc w:val="left"/>
        <w:pBdr>
          <w:bottom w:val="single" w:sz="6" w:space="1" w:color="C8D4CC"/>
        </w:pBdr>
      </w:pPr>
      <w:r>
        <w:rPr>
          <w:rFonts w:ascii="Calibri" w:hAnsi="Calibri" w:cs="Calibri"/>
          <w:b/>
          <w:i w:val="0"/>
          <w:color w:val="0F3D24"/>
          <w:sz w:val="24"/>
        </w:rPr>
        <w:t>11.  INDEMNITY</w:t>
      </w:r>
    </w:p>
    <w:p>
      <w:pPr>
        <w:spacing w:before="40" w:after="120" w:line="276" w:lineRule="auto"/>
        <w:ind w:left="85"/>
        <w:jc w:val="both"/>
      </w:pPr>
      <w:r>
        <w:rPr>
          <w:rFonts w:ascii="Calibri" w:hAnsi="Calibri" w:cs="Calibri"/>
          <w:b/>
          <w:i w:val="0"/>
          <w:color w:val="1F6B3A"/>
          <w:sz w:val="22"/>
        </w:rPr>
        <w:t xml:space="preserve">11.1    </w:t>
      </w:r>
      <w:r>
        <w:rPr>
          <w:rFonts w:ascii="Calibri" w:hAnsi="Calibri" w:cs="Calibri"/>
          <w:b w:val="0"/>
          <w:i w:val="0"/>
          <w:color w:val="1A1F1C"/>
          <w:sz w:val="22"/>
        </w:rPr>
        <w:t>The Partner shall indemnify Kalviro, its partners, employees and representatives against all losses, claims, penalties, costs and expenses (including reasonable legal fees) arising from: (a) the Partner’s breach of this Agreement or Applicable Law; (b) unauthorised advice, misrepresentation or mis-selling by the Partner; (c) the Partner holding out as a regulated intermediary or as Kalviro’s representative; (d) the Partner’s handling of investor data or funds; or (e) any referral made without the written confirmation required by Clause 6.3.</w:t>
      </w:r>
    </w:p>
    <w:p>
      <w:pPr>
        <w:spacing w:before="280" w:after="120" w:line="276" w:lineRule="auto"/>
        <w:jc w:val="left"/>
        <w:pBdr>
          <w:bottom w:val="single" w:sz="6" w:space="1" w:color="C8D4CC"/>
        </w:pBdr>
      </w:pPr>
      <w:r>
        <w:rPr>
          <w:rFonts w:ascii="Calibri" w:hAnsi="Calibri" w:cs="Calibri"/>
          <w:b/>
          <w:i w:val="0"/>
          <w:color w:val="0F3D24"/>
          <w:sz w:val="24"/>
        </w:rPr>
        <w:t>12.  LIABILITY AND NO GUARANTEE</w:t>
      </w:r>
    </w:p>
    <w:p>
      <w:pPr>
        <w:spacing w:before="40" w:after="120" w:line="276" w:lineRule="auto"/>
        <w:ind w:left="85"/>
        <w:jc w:val="both"/>
      </w:pPr>
      <w:r>
        <w:rPr>
          <w:rFonts w:ascii="Calibri" w:hAnsi="Calibri" w:cs="Calibri"/>
          <w:b/>
          <w:i w:val="0"/>
          <w:color w:val="1F6B3A"/>
          <w:sz w:val="22"/>
        </w:rPr>
        <w:t xml:space="preserve">12.1    </w:t>
      </w:r>
      <w:r>
        <w:rPr>
          <w:rFonts w:ascii="Calibri" w:hAnsi="Calibri" w:cs="Calibri"/>
          <w:b w:val="0"/>
          <w:i w:val="0"/>
          <w:color w:val="1A1F1C"/>
          <w:sz w:val="22"/>
        </w:rPr>
        <w:t>Neither Party is liable for indirect, incidental or consequential loss. Kalviro’s total liability under this Agreement shall not exceed the Referral Fees paid to the Partner in the twelve (12) months before the claim.</w:t>
      </w:r>
    </w:p>
    <w:p>
      <w:pPr>
        <w:spacing w:before="40" w:after="120" w:line="276" w:lineRule="auto"/>
        <w:ind w:left="85"/>
        <w:jc w:val="both"/>
      </w:pPr>
      <w:r>
        <w:rPr>
          <w:rFonts w:ascii="Calibri" w:hAnsi="Calibri" w:cs="Calibri"/>
          <w:b/>
          <w:i w:val="0"/>
          <w:color w:val="1F6B3A"/>
          <w:sz w:val="22"/>
        </w:rPr>
        <w:t xml:space="preserve">12.2    </w:t>
      </w:r>
      <w:r>
        <w:rPr>
          <w:rFonts w:ascii="Calibri" w:hAnsi="Calibri" w:cs="Calibri"/>
          <w:b w:val="0"/>
          <w:i w:val="0"/>
          <w:color w:val="1A1F1C"/>
          <w:sz w:val="22"/>
        </w:rPr>
        <w:t>Kalviro does not guarantee any minimum referrals, investments or Referral Fees. AMC payment timing, trail accruals and product terms are outside Kalviro’s control.</w:t>
      </w:r>
    </w:p>
    <w:p>
      <w:pPr>
        <w:spacing w:before="40" w:after="120" w:line="276" w:lineRule="auto"/>
        <w:ind w:left="85"/>
        <w:jc w:val="both"/>
      </w:pPr>
      <w:r>
        <w:rPr>
          <w:rFonts w:ascii="Calibri" w:hAnsi="Calibri" w:cs="Calibri"/>
          <w:b/>
          <w:i w:val="0"/>
          <w:color w:val="1F6B3A"/>
          <w:sz w:val="22"/>
        </w:rPr>
        <w:t xml:space="preserve">12.3    </w:t>
      </w:r>
      <w:r>
        <w:rPr>
          <w:rFonts w:ascii="Calibri" w:hAnsi="Calibri" w:cs="Calibri"/>
          <w:b w:val="0"/>
          <w:i w:val="0"/>
          <w:color w:val="1A1F1C"/>
          <w:sz w:val="22"/>
        </w:rPr>
        <w:t>Kalviro’s determination of whether a referral qualifies, the applicable fund-specific share, and Net Revenue received is final for this Agreement, subject to manifest error.</w:t>
      </w:r>
    </w:p>
    <w:p>
      <w:pPr>
        <w:spacing w:before="280" w:after="120" w:line="276" w:lineRule="auto"/>
        <w:jc w:val="left"/>
        <w:pBdr>
          <w:bottom w:val="single" w:sz="6" w:space="1" w:color="C8D4CC"/>
        </w:pBdr>
      </w:pPr>
      <w:r>
        <w:rPr>
          <w:rFonts w:ascii="Calibri" w:hAnsi="Calibri" w:cs="Calibri"/>
          <w:b/>
          <w:i w:val="0"/>
          <w:color w:val="0F3D24"/>
          <w:sz w:val="24"/>
        </w:rPr>
        <w:t>13.  STATUS</w:t>
      </w:r>
    </w:p>
    <w:p>
      <w:pPr>
        <w:spacing w:before="40" w:after="120" w:line="276" w:lineRule="auto"/>
        <w:ind w:left="85"/>
        <w:jc w:val="both"/>
      </w:pPr>
      <w:r>
        <w:rPr>
          <w:rFonts w:ascii="Calibri" w:hAnsi="Calibri" w:cs="Calibri"/>
          <w:b/>
          <w:i w:val="0"/>
          <w:color w:val="1F6B3A"/>
          <w:sz w:val="22"/>
        </w:rPr>
        <w:t xml:space="preserve">13.1    </w:t>
      </w:r>
      <w:r>
        <w:rPr>
          <w:rFonts w:ascii="Calibri" w:hAnsi="Calibri" w:cs="Calibri"/>
          <w:b w:val="0"/>
          <w:i w:val="0"/>
          <w:color w:val="1A1F1C"/>
          <w:sz w:val="22"/>
        </w:rPr>
        <w:t>The Partner is an independent contractor. This Agreement does not create employment, partnership, joint venture, agency or franchise. The Partner has no authority to bind Kalviro or to use Kalviro’s name or marks except as Kalviro approves in writing.</w:t>
      </w:r>
    </w:p>
    <w:p>
      <w:pPr>
        <w:spacing w:before="280" w:after="120" w:line="276" w:lineRule="auto"/>
        <w:jc w:val="left"/>
        <w:pBdr>
          <w:bottom w:val="single" w:sz="6" w:space="1" w:color="C8D4CC"/>
        </w:pBdr>
      </w:pPr>
      <w:r>
        <w:rPr>
          <w:rFonts w:ascii="Calibri" w:hAnsi="Calibri" w:cs="Calibri"/>
          <w:b/>
          <w:i w:val="0"/>
          <w:color w:val="0F3D24"/>
          <w:sz w:val="24"/>
        </w:rPr>
        <w:t>14.  NOTICES AND GENERAL</w:t>
      </w:r>
    </w:p>
    <w:p>
      <w:pPr>
        <w:spacing w:before="40" w:after="120" w:line="276" w:lineRule="auto"/>
        <w:ind w:left="85"/>
        <w:jc w:val="both"/>
      </w:pPr>
      <w:r>
        <w:rPr>
          <w:rFonts w:ascii="Calibri" w:hAnsi="Calibri" w:cs="Calibri"/>
          <w:b/>
          <w:i w:val="0"/>
          <w:color w:val="1F6B3A"/>
          <w:sz w:val="22"/>
        </w:rPr>
        <w:t xml:space="preserve">14.1    </w:t>
      </w:r>
      <w:r>
        <w:rPr>
          <w:rFonts w:ascii="Calibri" w:hAnsi="Calibri" w:cs="Calibri"/>
          <w:b w:val="0"/>
          <w:i w:val="0"/>
          <w:color w:val="1A1F1C"/>
          <w:sz w:val="22"/>
        </w:rPr>
        <w:t>Notices under this Agreement may be given by hand, courier, or email (with delivery or read confirmation, or without bounce-back). Notices to Kalviro shall be sent to info@kalviroventures.com and to the Chennai office address above. Notices to the Partner shall be sent to the email and address last notified to Kalviro.</w:t>
      </w:r>
    </w:p>
    <w:p>
      <w:pPr>
        <w:spacing w:before="40" w:after="120" w:line="276" w:lineRule="auto"/>
        <w:ind w:left="85"/>
        <w:jc w:val="both"/>
      </w:pPr>
      <w:r>
        <w:rPr>
          <w:rFonts w:ascii="Calibri" w:hAnsi="Calibri" w:cs="Calibri"/>
          <w:b/>
          <w:i w:val="0"/>
          <w:color w:val="1F6B3A"/>
          <w:sz w:val="22"/>
        </w:rPr>
        <w:t xml:space="preserve">14.2    </w:t>
      </w:r>
      <w:r>
        <w:rPr>
          <w:rFonts w:ascii="Calibri" w:hAnsi="Calibri" w:cs="Calibri"/>
          <w:b w:val="0"/>
          <w:i w:val="0"/>
          <w:color w:val="1A1F1C"/>
          <w:sz w:val="22"/>
        </w:rPr>
        <w:t>The Partner may not assign this Agreement without Kalviro’s prior written consent. Kalviro may assign to an affiliate or successor of its business.</w:t>
      </w:r>
    </w:p>
    <w:p>
      <w:pPr>
        <w:spacing w:before="40" w:after="120" w:line="276" w:lineRule="auto"/>
        <w:ind w:left="85"/>
        <w:jc w:val="both"/>
      </w:pPr>
      <w:r>
        <w:rPr>
          <w:rFonts w:ascii="Calibri" w:hAnsi="Calibri" w:cs="Calibri"/>
          <w:b/>
          <w:i w:val="0"/>
          <w:color w:val="1F6B3A"/>
          <w:sz w:val="22"/>
        </w:rPr>
        <w:t xml:space="preserve">14.3    </w:t>
      </w:r>
      <w:r>
        <w:rPr>
          <w:rFonts w:ascii="Calibri" w:hAnsi="Calibri" w:cs="Calibri"/>
          <w:b w:val="0"/>
          <w:i w:val="0"/>
          <w:color w:val="1A1F1C"/>
          <w:sz w:val="22"/>
        </w:rPr>
        <w:t>Amendments are valid only if in writing and signed (including by electronic or scanned signature) by both Parties. Fund-specific confirmations under Clause 6.3 are amendments only for the named fund.</w:t>
      </w:r>
    </w:p>
    <w:p>
      <w:pPr>
        <w:spacing w:before="40" w:after="120" w:line="276" w:lineRule="auto"/>
        <w:ind w:left="85"/>
        <w:jc w:val="both"/>
      </w:pPr>
      <w:r>
        <w:rPr>
          <w:rFonts w:ascii="Calibri" w:hAnsi="Calibri" w:cs="Calibri"/>
          <w:b/>
          <w:i w:val="0"/>
          <w:color w:val="1F6B3A"/>
          <w:sz w:val="22"/>
        </w:rPr>
        <w:t xml:space="preserve">14.4    </w:t>
      </w:r>
      <w:r>
        <w:rPr>
          <w:rFonts w:ascii="Calibri" w:hAnsi="Calibri" w:cs="Calibri"/>
          <w:b w:val="0"/>
          <w:i w:val="0"/>
          <w:color w:val="1A1F1C"/>
          <w:sz w:val="22"/>
        </w:rPr>
        <w:t>If any provision is held invalid, the remainder continues in effect. A failure to enforce a right is not a waiver.</w:t>
      </w:r>
    </w:p>
    <w:p>
      <w:pPr>
        <w:spacing w:before="40" w:after="120" w:line="276" w:lineRule="auto"/>
        <w:ind w:left="85"/>
        <w:jc w:val="both"/>
      </w:pPr>
      <w:r>
        <w:rPr>
          <w:rFonts w:ascii="Calibri" w:hAnsi="Calibri" w:cs="Calibri"/>
          <w:b/>
          <w:i w:val="0"/>
          <w:color w:val="1F6B3A"/>
          <w:sz w:val="22"/>
        </w:rPr>
        <w:t xml:space="preserve">14.5    </w:t>
      </w:r>
      <w:r>
        <w:rPr>
          <w:rFonts w:ascii="Calibri" w:hAnsi="Calibri" w:cs="Calibri"/>
          <w:b w:val="0"/>
          <w:i w:val="0"/>
          <w:color w:val="1A1F1C"/>
          <w:sz w:val="22"/>
        </w:rPr>
        <w:t>This Agreement, including the Schedules and Annexure 1, is the entire agreement on its subject and supersedes prior discussions. Signed scanned copies exchanged by email are binding pending wet-ink originals, if requested.</w:t>
      </w:r>
    </w:p>
    <w:p>
      <w:pPr>
        <w:spacing w:before="280" w:after="120" w:line="276" w:lineRule="auto"/>
        <w:jc w:val="left"/>
        <w:pBdr>
          <w:bottom w:val="single" w:sz="6" w:space="1" w:color="C8D4CC"/>
        </w:pBdr>
      </w:pPr>
      <w:r>
        <w:rPr>
          <w:rFonts w:ascii="Calibri" w:hAnsi="Calibri" w:cs="Calibri"/>
          <w:b/>
          <w:i w:val="0"/>
          <w:color w:val="0F3D24"/>
          <w:sz w:val="24"/>
        </w:rPr>
        <w:t>15.  GOVERNING LAW</w:t>
      </w:r>
    </w:p>
    <w:p>
      <w:pPr>
        <w:spacing w:before="40" w:after="120" w:line="276" w:lineRule="auto"/>
        <w:ind w:left="85"/>
        <w:jc w:val="both"/>
      </w:pPr>
      <w:r>
        <w:rPr>
          <w:rFonts w:ascii="Calibri" w:hAnsi="Calibri" w:cs="Calibri"/>
          <w:b/>
          <w:i w:val="0"/>
          <w:color w:val="1F6B3A"/>
          <w:sz w:val="22"/>
        </w:rPr>
        <w:t xml:space="preserve">15.1    </w:t>
      </w:r>
      <w:r>
        <w:rPr>
          <w:rFonts w:ascii="Calibri" w:hAnsi="Calibri" w:cs="Calibri"/>
          <w:b w:val="0"/>
          <w:i w:val="0"/>
          <w:color w:val="1A1F1C"/>
          <w:sz w:val="22"/>
        </w:rPr>
        <w:t>This Agreement is governed by the laws of India. The courts at Chennai, Tamil Nadu have exclusive jurisdiction.</w:t>
      </w:r>
    </w:p>
    <w:p>
      <w:pPr>
        <w:spacing w:before="360" w:after="160" w:line="276" w:lineRule="auto"/>
        <w:jc w:val="left"/>
        <w:pBdr>
          <w:bottom w:val="single" w:sz="6" w:space="1" w:color="C8D4CC"/>
        </w:pBdr>
      </w:pPr>
      <w:r>
        <w:rPr>
          <w:rFonts w:ascii="Calibri" w:hAnsi="Calibri" w:cs="Calibri"/>
          <w:b/>
          <w:i w:val="0"/>
          <w:color w:val="0F3D24"/>
          <w:sz w:val="26"/>
        </w:rPr>
        <w:t>SCHEDULE A — PRODUCTS</w:t>
      </w:r>
    </w:p>
    <w:p>
      <w:pPr>
        <w:spacing w:before="0" w:after="120" w:line="276" w:lineRule="auto"/>
        <w:jc w:val="both"/>
      </w:pPr>
      <w:r>
        <w:rPr>
          <w:rFonts w:ascii="Calibri" w:hAnsi="Calibri" w:cs="Calibri"/>
          <w:b w:val="0"/>
          <w:i w:val="0"/>
          <w:color w:val="1A1F1C"/>
          <w:sz w:val="22"/>
        </w:rPr>
        <w:t>Products covered (as empanelled by Kalviro from time to time):</w:t>
      </w:r>
    </w:p>
    <w:p>
      <w:pPr>
        <w:spacing w:before="0" w:after="80" w:line="276" w:lineRule="auto"/>
        <w:ind w:left="340"/>
        <w:jc w:val="both"/>
      </w:pPr>
      <w:r>
        <w:rPr>
          <w:rFonts w:ascii="Calibri" w:hAnsi="Calibri" w:cs="Calibri"/>
          <w:b w:val="0"/>
          <w:i w:val="0"/>
          <w:color w:val="1F6B3A"/>
          <w:sz w:val="22"/>
        </w:rPr>
        <w:t xml:space="preserve">•    </w:t>
      </w:r>
      <w:r>
        <w:rPr>
          <w:rFonts w:ascii="Calibri" w:hAnsi="Calibri" w:cs="Calibri"/>
          <w:b w:val="0"/>
          <w:i w:val="0"/>
          <w:color w:val="1A1F1C"/>
          <w:sz w:val="22"/>
        </w:rPr>
        <w:t>Portfolio Management Services (PMS);</w:t>
      </w:r>
    </w:p>
    <w:p>
      <w:pPr>
        <w:spacing w:before="0" w:after="80" w:line="276" w:lineRule="auto"/>
        <w:ind w:left="340"/>
        <w:jc w:val="both"/>
      </w:pPr>
      <w:r>
        <w:rPr>
          <w:rFonts w:ascii="Calibri" w:hAnsi="Calibri" w:cs="Calibri"/>
          <w:b w:val="0"/>
          <w:i w:val="0"/>
          <w:color w:val="1F6B3A"/>
          <w:sz w:val="22"/>
        </w:rPr>
        <w:t xml:space="preserve">•    </w:t>
      </w:r>
      <w:r>
        <w:rPr>
          <w:rFonts w:ascii="Calibri" w:hAnsi="Calibri" w:cs="Calibri"/>
          <w:b w:val="0"/>
          <w:i w:val="0"/>
          <w:color w:val="1A1F1C"/>
          <w:sz w:val="22"/>
        </w:rPr>
        <w:t>Alternative Investment Funds (AIF) — Categories I, II and III;</w:t>
      </w:r>
    </w:p>
    <w:p>
      <w:pPr>
        <w:spacing w:before="0" w:after="80" w:line="276" w:lineRule="auto"/>
        <w:ind w:left="340"/>
        <w:jc w:val="both"/>
      </w:pPr>
      <w:r>
        <w:rPr>
          <w:rFonts w:ascii="Calibri" w:hAnsi="Calibri" w:cs="Calibri"/>
          <w:b w:val="0"/>
          <w:i w:val="0"/>
          <w:color w:val="1F6B3A"/>
          <w:sz w:val="22"/>
        </w:rPr>
        <w:t xml:space="preserve">•    </w:t>
      </w:r>
      <w:r>
        <w:rPr>
          <w:rFonts w:ascii="Calibri" w:hAnsi="Calibri" w:cs="Calibri"/>
          <w:b w:val="0"/>
          <w:i w:val="0"/>
          <w:color w:val="1A1F1C"/>
          <w:sz w:val="22"/>
        </w:rPr>
        <w:t>GIFT City / IFSC investment products.</w:t>
      </w:r>
    </w:p>
    <w:p>
      <w:pPr>
        <w:spacing w:before="120" w:after="160" w:line="276" w:lineRule="auto"/>
        <w:jc w:val="both"/>
      </w:pPr>
      <w:r>
        <w:rPr>
          <w:rFonts w:ascii="Calibri" w:hAnsi="Calibri" w:cs="Calibri"/>
          <w:b w:val="0"/>
          <w:i w:val="0"/>
          <w:color w:val="1A1F1C"/>
          <w:sz w:val="22"/>
        </w:rPr>
        <w:t>Mutual funds are excluded unless Kalviro confirms coverage in writing for a named scheme. Kalviro may add or withdraw a Product by written notice. Withdrawal does not affect Referral Fees already accrued on Qualifying Investments.</w:t>
      </w:r>
    </w:p>
    <w:p>
      <w:pPr>
        <w:spacing w:before="320" w:after="160" w:line="276" w:lineRule="auto"/>
        <w:jc w:val="left"/>
        <w:pBdr>
          <w:bottom w:val="single" w:sz="6" w:space="1" w:color="C8D4CC"/>
        </w:pBdr>
      </w:pPr>
      <w:r>
        <w:rPr>
          <w:rFonts w:ascii="Calibri" w:hAnsi="Calibri" w:cs="Calibri"/>
          <w:b/>
          <w:i w:val="0"/>
          <w:color w:val="0F3D24"/>
          <w:sz w:val="26"/>
        </w:rPr>
        <w:t>SCHEDULE B — COMMERCIAL TERMS</w:t>
      </w:r>
    </w:p>
    <w:tbl>
      <w:tblPr>
        <w:tblW w:type="dxa" w:w="9355"/>
        <w:jc w:val="center"/>
        <w:tblLayout w:type="fixed"/>
        <w:tblLook w:firstColumn="1" w:firstRow="1" w:lastColumn="0" w:lastRow="0" w:noHBand="0" w:noVBand="1" w:val="04A0"/>
      </w:tblPr>
      <w:tblGrid>
        <w:gridCol w:w="4819"/>
        <w:gridCol w:w="4819"/>
      </w:tblGrid>
      <w:tr>
        <w:tc>
          <w:tcPr>
            <w:tcW w:type="dxa" w:w="4819"/>
            <w:shd w:fill="0F3D24" w:val="clear"/>
            <w:tcBorders>
              <w:top w:val="single" w:sz="4" w:space="0" w:color="0F3D24"/>
              <w:bottom w:val="single" w:sz="4" w:space="0" w:color="0F3D24"/>
              <w:left w:val="single" w:sz="4" w:space="0" w:color="0F3D24"/>
              <w:right w:val="single" w:sz="4" w:space="0" w:color="0F3D24"/>
            </w:tcBorders>
          </w:tcPr>
          <w:p>
            <w:pPr>
              <w:spacing w:before="100" w:after="100"/>
            </w:pPr>
            <w:r>
              <w:rPr>
                <w:rFonts w:ascii="Calibri" w:hAnsi="Calibri" w:cs="Calibri"/>
                <w:b/>
                <w:i w:val="0"/>
                <w:color w:val="FFFFFF"/>
                <w:sz w:val="20"/>
              </w:rPr>
              <w:t>Item</w:t>
            </w:r>
          </w:p>
        </w:tc>
        <w:tc>
          <w:tcPr>
            <w:tcW w:type="dxa" w:w="4819"/>
            <w:shd w:fill="0F3D24" w:val="clear"/>
            <w:tcBorders>
              <w:top w:val="single" w:sz="4" w:space="0" w:color="0F3D24"/>
              <w:bottom w:val="single" w:sz="4" w:space="0" w:color="0F3D24"/>
              <w:left w:val="single" w:sz="4" w:space="0" w:color="0F3D24"/>
              <w:right w:val="single" w:sz="4" w:space="0" w:color="0F3D24"/>
            </w:tcBorders>
          </w:tcPr>
          <w:p>
            <w:pPr>
              <w:spacing w:before="100" w:after="100"/>
            </w:pPr>
            <w:r>
              <w:rPr>
                <w:rFonts w:ascii="Calibri" w:hAnsi="Calibri" w:cs="Calibri"/>
                <w:b/>
                <w:i w:val="0"/>
                <w:color w:val="FFFFFF"/>
                <w:sz w:val="20"/>
              </w:rPr>
              <w:t>Term</w:t>
            </w:r>
          </w:p>
        </w:tc>
      </w:tr>
      <w:tr>
        <w:tc>
          <w:tcPr>
            <w:tcW w:type="dxa" w:w="4819"/>
            <w:tcBorders>
              <w:top w:val="single" w:sz="4" w:space="0" w:color="E2E6E3"/>
              <w:bottom w:val="single" w:sz="4" w:space="0" w:color="E2E6E3"/>
              <w:left w:val="single" w:sz="4" w:space="0" w:color="E2E6E3"/>
              <w:right w:val="single" w:sz="4" w:space="0" w:color="E2E6E3"/>
            </w:tcBorders>
          </w:tcPr>
          <w:p>
            <w:pPr>
              <w:spacing w:before="80" w:after="80"/>
            </w:pPr>
            <w:r>
              <w:rPr>
                <w:rFonts w:ascii="Calibri" w:hAnsi="Calibri" w:cs="Calibri"/>
                <w:b w:val="0"/>
                <w:i w:val="0"/>
                <w:color w:val="1A1F1C"/>
                <w:sz w:val="20"/>
              </w:rPr>
              <w:t>Default share</w:t>
            </w:r>
          </w:p>
        </w:tc>
        <w:tc>
          <w:tcPr>
            <w:tcW w:type="dxa" w:w="4819"/>
            <w:tcBorders>
              <w:top w:val="single" w:sz="4" w:space="0" w:color="E2E6E3"/>
              <w:bottom w:val="single" w:sz="4" w:space="0" w:color="E2E6E3"/>
              <w:left w:val="single" w:sz="4" w:space="0" w:color="E2E6E3"/>
              <w:right w:val="single" w:sz="4" w:space="0" w:color="E2E6E3"/>
            </w:tcBorders>
          </w:tcPr>
          <w:p>
            <w:pPr>
              <w:spacing w:before="80" w:after="80"/>
            </w:pPr>
            <w:r>
              <w:rPr>
                <w:rFonts w:ascii="Calibri" w:hAnsi="Calibri" w:cs="Calibri"/>
                <w:b w:val="0"/>
                <w:i w:val="0"/>
                <w:color w:val="1A1F1C"/>
                <w:sz w:val="20"/>
              </w:rPr>
              <w:t>50% of Net Revenue actually received by Kalviro, unless a different percentage is confirmed in writing for that fund.</w:t>
            </w:r>
          </w:p>
        </w:tc>
      </w:tr>
      <w:tr>
        <w:tc>
          <w:tcPr>
            <w:tcW w:type="dxa" w:w="4819"/>
            <w:shd w:fill="F4F6F4" w:val="clear"/>
            <w:tcBorders>
              <w:top w:val="single" w:sz="4" w:space="0" w:color="E2E6E3"/>
              <w:bottom w:val="single" w:sz="4" w:space="0" w:color="E2E6E3"/>
              <w:left w:val="single" w:sz="4" w:space="0" w:color="E2E6E3"/>
              <w:right w:val="single" w:sz="4" w:space="0" w:color="E2E6E3"/>
            </w:tcBorders>
          </w:tcPr>
          <w:p>
            <w:pPr>
              <w:spacing w:before="80" w:after="80"/>
            </w:pPr>
            <w:r>
              <w:rPr>
                <w:rFonts w:ascii="Calibri" w:hAnsi="Calibri" w:cs="Calibri"/>
                <w:b w:val="0"/>
                <w:i w:val="0"/>
                <w:color w:val="1A1F1C"/>
                <w:sz w:val="20"/>
              </w:rPr>
              <w:t>Basis</w:t>
            </w:r>
          </w:p>
        </w:tc>
        <w:tc>
          <w:tcPr>
            <w:tcW w:type="dxa" w:w="4819"/>
            <w:shd w:fill="F4F6F4" w:val="clear"/>
            <w:tcBorders>
              <w:top w:val="single" w:sz="4" w:space="0" w:color="E2E6E3"/>
              <w:bottom w:val="single" w:sz="4" w:space="0" w:color="E2E6E3"/>
              <w:left w:val="single" w:sz="4" w:space="0" w:color="E2E6E3"/>
              <w:right w:val="single" w:sz="4" w:space="0" w:color="E2E6E3"/>
            </w:tcBorders>
          </w:tcPr>
          <w:p>
            <w:pPr>
              <w:spacing w:before="80" w:after="80"/>
            </w:pPr>
            <w:r>
              <w:rPr>
                <w:rFonts w:ascii="Calibri" w:hAnsi="Calibri" w:cs="Calibri"/>
                <w:b w:val="0"/>
                <w:i w:val="0"/>
                <w:color w:val="1A1F1C"/>
                <w:sz w:val="20"/>
              </w:rPr>
              <w:t>Trail, placement or distribution components actually received from the AMC / product provider. No upfront, guaranteed or fixed fee unless expressly agreed in writing for a named transaction.</w:t>
            </w:r>
          </w:p>
        </w:tc>
      </w:tr>
      <w:tr>
        <w:tc>
          <w:tcPr>
            <w:tcW w:type="dxa" w:w="4819"/>
            <w:tcBorders>
              <w:top w:val="single" w:sz="4" w:space="0" w:color="E2E6E3"/>
              <w:bottom w:val="single" w:sz="4" w:space="0" w:color="E2E6E3"/>
              <w:left w:val="single" w:sz="4" w:space="0" w:color="E2E6E3"/>
              <w:right w:val="single" w:sz="4" w:space="0" w:color="E2E6E3"/>
            </w:tcBorders>
          </w:tcPr>
          <w:p>
            <w:pPr>
              <w:spacing w:before="80" w:after="80"/>
            </w:pPr>
            <w:r>
              <w:rPr>
                <w:rFonts w:ascii="Calibri" w:hAnsi="Calibri" w:cs="Calibri"/>
                <w:b w:val="0"/>
                <w:i w:val="0"/>
                <w:color w:val="1A1F1C"/>
                <w:sz w:val="20"/>
              </w:rPr>
              <w:t>When payable</w:t>
            </w:r>
          </w:p>
        </w:tc>
        <w:tc>
          <w:tcPr>
            <w:tcW w:type="dxa" w:w="4819"/>
            <w:tcBorders>
              <w:top w:val="single" w:sz="4" w:space="0" w:color="E2E6E3"/>
              <w:bottom w:val="single" w:sz="4" w:space="0" w:color="E2E6E3"/>
              <w:left w:val="single" w:sz="4" w:space="0" w:color="E2E6E3"/>
              <w:right w:val="single" w:sz="4" w:space="0" w:color="E2E6E3"/>
            </w:tcBorders>
          </w:tcPr>
          <w:p>
            <w:pPr>
              <w:spacing w:before="80" w:after="80"/>
            </w:pPr>
            <w:r>
              <w:rPr>
                <w:rFonts w:ascii="Calibri" w:hAnsi="Calibri" w:cs="Calibri"/>
                <w:b w:val="0"/>
                <w:i w:val="0"/>
                <w:color w:val="1A1F1C"/>
                <w:sz w:val="20"/>
              </w:rPr>
              <w:t>Only after Kalviro receives the corresponding Net Revenue. Nothing is payable on unfunded, rejected, cancelled or reversed investments.</w:t>
            </w:r>
          </w:p>
        </w:tc>
      </w:tr>
      <w:tr>
        <w:tc>
          <w:tcPr>
            <w:tcW w:type="dxa" w:w="4819"/>
            <w:shd w:fill="F4F6F4" w:val="clear"/>
            <w:tcBorders>
              <w:top w:val="single" w:sz="4" w:space="0" w:color="E2E6E3"/>
              <w:bottom w:val="single" w:sz="4" w:space="0" w:color="E2E6E3"/>
              <w:left w:val="single" w:sz="4" w:space="0" w:color="E2E6E3"/>
              <w:right w:val="single" w:sz="4" w:space="0" w:color="E2E6E3"/>
            </w:tcBorders>
          </w:tcPr>
          <w:p>
            <w:pPr>
              <w:spacing w:before="80" w:after="80"/>
            </w:pPr>
            <w:r>
              <w:rPr>
                <w:rFonts w:ascii="Calibri" w:hAnsi="Calibri" w:cs="Calibri"/>
                <w:b w:val="0"/>
                <w:i w:val="0"/>
                <w:color w:val="1A1F1C"/>
                <w:sz w:val="20"/>
              </w:rPr>
              <w:t>Frequency</w:t>
            </w:r>
          </w:p>
        </w:tc>
        <w:tc>
          <w:tcPr>
            <w:tcW w:type="dxa" w:w="4819"/>
            <w:shd w:fill="F4F6F4" w:val="clear"/>
            <w:tcBorders>
              <w:top w:val="single" w:sz="4" w:space="0" w:color="E2E6E3"/>
              <w:bottom w:val="single" w:sz="4" w:space="0" w:color="E2E6E3"/>
              <w:left w:val="single" w:sz="4" w:space="0" w:color="E2E6E3"/>
              <w:right w:val="single" w:sz="4" w:space="0" w:color="E2E6E3"/>
            </w:tcBorders>
          </w:tcPr>
          <w:p>
            <w:pPr>
              <w:spacing w:before="80" w:after="80"/>
            </w:pPr>
            <w:r>
              <w:rPr>
                <w:rFonts w:ascii="Calibri" w:hAnsi="Calibri" w:cs="Calibri"/>
                <w:b w:val="0"/>
                <w:i w:val="0"/>
                <w:color w:val="1A1F1C"/>
                <w:sz w:val="20"/>
              </w:rPr>
              <w:t>Quarterly, within 30 days after quarter-end of receipt (or the AMC’s longer cycle, as communicated).</w:t>
            </w:r>
          </w:p>
        </w:tc>
      </w:tr>
      <w:tr>
        <w:tc>
          <w:tcPr>
            <w:tcW w:type="dxa" w:w="4819"/>
            <w:tcBorders>
              <w:top w:val="single" w:sz="4" w:space="0" w:color="E2E6E3"/>
              <w:bottom w:val="single" w:sz="4" w:space="0" w:color="E2E6E3"/>
              <w:left w:val="single" w:sz="4" w:space="0" w:color="E2E6E3"/>
              <w:right w:val="single" w:sz="4" w:space="0" w:color="E2E6E3"/>
            </w:tcBorders>
          </w:tcPr>
          <w:p>
            <w:pPr>
              <w:spacing w:before="80" w:after="80"/>
            </w:pPr>
            <w:r>
              <w:rPr>
                <w:rFonts w:ascii="Calibri" w:hAnsi="Calibri" w:cs="Calibri"/>
                <w:b w:val="0"/>
                <w:i w:val="0"/>
                <w:color w:val="1A1F1C"/>
                <w:sz w:val="20"/>
              </w:rPr>
              <w:t>Tax</w:t>
            </w:r>
          </w:p>
        </w:tc>
        <w:tc>
          <w:tcPr>
            <w:tcW w:type="dxa" w:w="4819"/>
            <w:tcBorders>
              <w:top w:val="single" w:sz="4" w:space="0" w:color="E2E6E3"/>
              <w:bottom w:val="single" w:sz="4" w:space="0" w:color="E2E6E3"/>
              <w:left w:val="single" w:sz="4" w:space="0" w:color="E2E6E3"/>
              <w:right w:val="single" w:sz="4" w:space="0" w:color="E2E6E3"/>
            </w:tcBorders>
          </w:tcPr>
          <w:p>
            <w:pPr>
              <w:spacing w:before="80" w:after="80"/>
            </w:pPr>
            <w:r>
              <w:rPr>
                <w:rFonts w:ascii="Calibri" w:hAnsi="Calibri" w:cs="Calibri"/>
                <w:b w:val="0"/>
                <w:i w:val="0"/>
                <w:color w:val="1A1F1C"/>
                <w:sz w:val="20"/>
              </w:rPr>
              <w:t>TDS and other statutory deductions as required by law.</w:t>
            </w:r>
          </w:p>
        </w:tc>
      </w:tr>
      <w:tr>
        <w:tc>
          <w:tcPr>
            <w:tcW w:type="dxa" w:w="4819"/>
            <w:shd w:fill="F4F6F4" w:val="clear"/>
            <w:tcBorders>
              <w:top w:val="single" w:sz="4" w:space="0" w:color="E2E6E3"/>
              <w:bottom w:val="single" w:sz="4" w:space="0" w:color="E2E6E3"/>
              <w:left w:val="single" w:sz="4" w:space="0" w:color="E2E6E3"/>
              <w:right w:val="single" w:sz="4" w:space="0" w:color="E2E6E3"/>
            </w:tcBorders>
          </w:tcPr>
          <w:p>
            <w:pPr>
              <w:spacing w:before="80" w:after="80"/>
            </w:pPr>
            <w:r>
              <w:rPr>
                <w:rFonts w:ascii="Calibri" w:hAnsi="Calibri" w:cs="Calibri"/>
                <w:b w:val="0"/>
                <w:i w:val="0"/>
                <w:color w:val="1A1F1C"/>
                <w:sz w:val="20"/>
              </w:rPr>
              <w:t>Eligibility</w:t>
            </w:r>
          </w:p>
        </w:tc>
        <w:tc>
          <w:tcPr>
            <w:tcW w:type="dxa" w:w="4819"/>
            <w:shd w:fill="F4F6F4" w:val="clear"/>
            <w:tcBorders>
              <w:top w:val="single" w:sz="4" w:space="0" w:color="E2E6E3"/>
              <w:bottom w:val="single" w:sz="4" w:space="0" w:color="E2E6E3"/>
              <w:left w:val="single" w:sz="4" w:space="0" w:color="E2E6E3"/>
              <w:right w:val="single" w:sz="4" w:space="0" w:color="E2E6E3"/>
            </w:tcBorders>
          </w:tcPr>
          <w:p>
            <w:pPr>
              <w:spacing w:before="80" w:after="80"/>
            </w:pPr>
            <w:r>
              <w:rPr>
                <w:rFonts w:ascii="Calibri" w:hAnsi="Calibri" w:cs="Calibri"/>
                <w:b w:val="0"/>
                <w:i w:val="0"/>
                <w:color w:val="1A1F1C"/>
                <w:sz w:val="20"/>
              </w:rPr>
              <w:t>Minimum ticket and other conditions as per the Product and Kalviro’s written confirmation.</w:t>
            </w:r>
          </w:p>
        </w:tc>
      </w:tr>
      <w:tr>
        <w:tc>
          <w:tcPr>
            <w:tcW w:type="dxa" w:w="4819"/>
            <w:tcBorders>
              <w:top w:val="single" w:sz="4" w:space="0" w:color="E2E6E3"/>
              <w:bottom w:val="single" w:sz="4" w:space="0" w:color="E2E6E3"/>
              <w:left w:val="single" w:sz="4" w:space="0" w:color="E2E6E3"/>
              <w:right w:val="single" w:sz="4" w:space="0" w:color="E2E6E3"/>
            </w:tcBorders>
          </w:tcPr>
          <w:p>
            <w:pPr>
              <w:spacing w:before="80" w:after="80"/>
            </w:pPr>
            <w:r>
              <w:rPr>
                <w:rFonts w:ascii="Calibri" w:hAnsi="Calibri" w:cs="Calibri"/>
                <w:b w:val="0"/>
                <w:i w:val="0"/>
                <w:color w:val="1A1F1C"/>
                <w:sz w:val="20"/>
              </w:rPr>
              <w:t>Fund-specific override</w:t>
            </w:r>
          </w:p>
        </w:tc>
        <w:tc>
          <w:tcPr>
            <w:tcW w:type="dxa" w:w="4819"/>
            <w:tcBorders>
              <w:top w:val="single" w:sz="4" w:space="0" w:color="E2E6E3"/>
              <w:bottom w:val="single" w:sz="4" w:space="0" w:color="E2E6E3"/>
              <w:left w:val="single" w:sz="4" w:space="0" w:color="E2E6E3"/>
              <w:right w:val="single" w:sz="4" w:space="0" w:color="E2E6E3"/>
            </w:tcBorders>
          </w:tcPr>
          <w:p>
            <w:pPr>
              <w:spacing w:before="80" w:after="80"/>
            </w:pPr>
            <w:r>
              <w:rPr>
                <w:rFonts w:ascii="Calibri" w:hAnsi="Calibri" w:cs="Calibri"/>
                <w:b w:val="0"/>
                <w:i w:val="0"/>
                <w:color w:val="1A1F1C"/>
                <w:sz w:val="20"/>
              </w:rPr>
              <w:t>Disclosed case-by-case in writing. Partner must accept before referring that fund. Partner Office / referral permission for that fund activates only after Kalviro records acceptance.</w:t>
            </w:r>
          </w:p>
        </w:tc>
      </w:tr>
    </w:tbl>
    <w:p>
      <w:pPr>
        <w:spacing w:before="0" w:after="160" w:line="276" w:lineRule="auto"/>
        <w:jc w:val="left"/>
      </w:pPr>
    </w:p>
    <w:p>
      <w:pPr>
        <w:spacing w:before="240" w:after="160" w:line="276" w:lineRule="auto"/>
        <w:jc w:val="left"/>
        <w:pBdr>
          <w:bottom w:val="single" w:sz="6" w:space="1" w:color="C8D4CC"/>
        </w:pBdr>
      </w:pPr>
      <w:r>
        <w:rPr>
          <w:rFonts w:ascii="Calibri" w:hAnsi="Calibri" w:cs="Calibri"/>
          <w:b/>
          <w:i w:val="0"/>
          <w:color w:val="0F3D24"/>
          <w:sz w:val="26"/>
        </w:rPr>
        <w:t>SCHEDULE C — FUND-SPECIFIC CONFIRMATION (FORM)</w:t>
      </w:r>
    </w:p>
    <w:p>
      <w:pPr>
        <w:spacing w:before="0" w:after="160" w:line="276" w:lineRule="auto"/>
        <w:jc w:val="both"/>
      </w:pPr>
      <w:r>
        <w:rPr>
          <w:rFonts w:ascii="Calibri" w:hAnsi="Calibri" w:cs="Calibri"/>
          <w:b w:val="0"/>
          <w:i w:val="0"/>
          <w:color w:val="1A1F1C"/>
          <w:sz w:val="22"/>
        </w:rPr>
        <w:t>Kalviro will issue a separate written notice (including by email) for each fund, stating: fund name; product type; applicable share; trail basis; exclusions; and effective date. The Partner’s reply must include the following (or substantially the same wording):</w:t>
      </w:r>
    </w:p>
    <w:p>
      <w:pPr>
        <w:spacing w:before="160" w:after="160" w:line="276" w:lineRule="auto"/>
        <w:jc w:val="center"/>
      </w:pPr>
      <w:r>
        <w:rPr>
          <w:rFonts w:ascii="Calibri" w:hAnsi="Calibri" w:cs="Calibri"/>
          <w:b w:val="0"/>
          <w:i/>
          <w:color w:val="0F3D24"/>
          <w:sz w:val="22"/>
        </w:rPr>
        <w:t>“I confirm acceptance of the terms for [Fund Name] as disclosed by Kalviro on [date].”</w:t>
      </w:r>
    </w:p>
    <w:p>
      <w:pPr>
        <w:spacing w:before="0" w:after="160" w:line="276" w:lineRule="auto"/>
        <w:jc w:val="both"/>
      </w:pPr>
      <w:r>
        <w:rPr>
          <w:rFonts w:ascii="Calibri" w:hAnsi="Calibri" w:cs="Calibri"/>
          <w:b w:val="0"/>
          <w:i w:val="0"/>
          <w:color w:val="1A1F1C"/>
          <w:sz w:val="22"/>
        </w:rPr>
        <w:t>Oral or informal understandings do not override a written disclosure. Partner Office access for that fund, and the right to refer it, commence only when Kalviro records the Partner’s acceptance.</w:t>
      </w:r>
    </w:p>
    <w:p>
      <w:pPr>
        <w:spacing w:before="320" w:after="160" w:line="276" w:lineRule="auto"/>
        <w:jc w:val="left"/>
        <w:pBdr>
          <w:bottom w:val="single" w:sz="6" w:space="1" w:color="C8D4CC"/>
        </w:pBdr>
      </w:pPr>
      <w:r>
        <w:rPr>
          <w:rFonts w:ascii="Calibri" w:hAnsi="Calibri" w:cs="Calibri"/>
          <w:b/>
          <w:i w:val="0"/>
          <w:color w:val="0F3D24"/>
          <w:sz w:val="26"/>
        </w:rPr>
        <w:t>ANNEXURE 1 — CODE OF CONDUCT</w:t>
      </w:r>
    </w:p>
    <w:p>
      <w:pPr>
        <w:spacing w:before="0" w:after="160" w:line="276" w:lineRule="auto"/>
        <w:jc w:val="both"/>
      </w:pPr>
      <w:r>
        <w:rPr>
          <w:rFonts w:ascii="Calibri" w:hAnsi="Calibri" w:cs="Calibri"/>
          <w:b w:val="0"/>
          <w:i w:val="0"/>
          <w:color w:val="1A1F1C"/>
          <w:sz w:val="22"/>
        </w:rPr>
        <w:t>This Annexure forms part of the Agreement. Breach may result in immediate suspension or termination and forfeiture of unpaid Referral Fees relating to non-compliant referrals.</w:t>
      </w:r>
    </w:p>
    <w:p>
      <w:pPr>
        <w:spacing w:before="0" w:after="80" w:line="276" w:lineRule="auto"/>
        <w:ind w:left="340"/>
        <w:jc w:val="both"/>
      </w:pPr>
      <w:r>
        <w:rPr>
          <w:rFonts w:ascii="Calibri" w:hAnsi="Calibri" w:cs="Calibri"/>
          <w:b w:val="0"/>
          <w:i w:val="0"/>
          <w:color w:val="1F6B3A"/>
          <w:sz w:val="22"/>
        </w:rPr>
        <w:t xml:space="preserve">•    </w:t>
      </w:r>
      <w:r>
        <w:rPr>
          <w:rFonts w:ascii="Calibri" w:hAnsi="Calibri" w:cs="Calibri"/>
          <w:b w:val="0"/>
          <w:i w:val="0"/>
          <w:color w:val="1A1F1C"/>
          <w:sz w:val="22"/>
        </w:rPr>
        <w:t>I will act with integrity and will not mislead any person about Kalviro, any Product, past performance, risk, liquidity, taxation or fees.</w:t>
      </w:r>
    </w:p>
    <w:p>
      <w:pPr>
        <w:spacing w:before="0" w:after="80" w:line="276" w:lineRule="auto"/>
        <w:ind w:left="340"/>
        <w:jc w:val="both"/>
      </w:pPr>
      <w:r>
        <w:rPr>
          <w:rFonts w:ascii="Calibri" w:hAnsi="Calibri" w:cs="Calibri"/>
          <w:b w:val="0"/>
          <w:i w:val="0"/>
          <w:color w:val="1F6B3A"/>
          <w:sz w:val="22"/>
        </w:rPr>
        <w:t xml:space="preserve">•    </w:t>
      </w:r>
      <w:r>
        <w:rPr>
          <w:rFonts w:ascii="Calibri" w:hAnsi="Calibri" w:cs="Calibri"/>
          <w:b w:val="0"/>
          <w:i w:val="0"/>
          <w:color w:val="1A1F1C"/>
          <w:sz w:val="22"/>
        </w:rPr>
        <w:t>I will not guarantee returns or capital protection.</w:t>
      </w:r>
    </w:p>
    <w:p>
      <w:pPr>
        <w:spacing w:before="0" w:after="80" w:line="276" w:lineRule="auto"/>
        <w:ind w:left="340"/>
        <w:jc w:val="both"/>
      </w:pPr>
      <w:r>
        <w:rPr>
          <w:rFonts w:ascii="Calibri" w:hAnsi="Calibri" w:cs="Calibri"/>
          <w:b w:val="0"/>
          <w:i w:val="0"/>
          <w:color w:val="1F6B3A"/>
          <w:sz w:val="22"/>
        </w:rPr>
        <w:t xml:space="preserve">•    </w:t>
      </w:r>
      <w:r>
        <w:rPr>
          <w:rFonts w:ascii="Calibri" w:hAnsi="Calibri" w:cs="Calibri"/>
          <w:b w:val="0"/>
          <w:i w:val="0"/>
          <w:color w:val="1A1F1C"/>
          <w:sz w:val="22"/>
        </w:rPr>
        <w:t>I will not describe myself as Kalviro’s employee, agent, distributor or investment adviser unless I hold the required registration and Kalviro has authorised that description in writing.</w:t>
      </w:r>
    </w:p>
    <w:p>
      <w:pPr>
        <w:spacing w:before="0" w:after="80" w:line="276" w:lineRule="auto"/>
        <w:ind w:left="340"/>
        <w:jc w:val="both"/>
      </w:pPr>
      <w:r>
        <w:rPr>
          <w:rFonts w:ascii="Calibri" w:hAnsi="Calibri" w:cs="Calibri"/>
          <w:b w:val="0"/>
          <w:i w:val="0"/>
          <w:color w:val="1F6B3A"/>
          <w:sz w:val="22"/>
        </w:rPr>
        <w:t xml:space="preserve">•    </w:t>
      </w:r>
      <w:r>
        <w:rPr>
          <w:rFonts w:ascii="Calibri" w:hAnsi="Calibri" w:cs="Calibri"/>
          <w:b w:val="0"/>
          <w:i w:val="0"/>
          <w:color w:val="1A1F1C"/>
          <w:sz w:val="22"/>
        </w:rPr>
        <w:t>I will not handle investor funds or original KYC documents unless Kalviro has authorised that act in writing for a named transaction.</w:t>
      </w:r>
    </w:p>
    <w:p>
      <w:pPr>
        <w:spacing w:before="0" w:after="80" w:line="276" w:lineRule="auto"/>
        <w:ind w:left="340"/>
        <w:jc w:val="both"/>
      </w:pPr>
      <w:r>
        <w:rPr>
          <w:rFonts w:ascii="Calibri" w:hAnsi="Calibri" w:cs="Calibri"/>
          <w:b w:val="0"/>
          <w:i w:val="0"/>
          <w:color w:val="1F6B3A"/>
          <w:sz w:val="22"/>
        </w:rPr>
        <w:t xml:space="preserve">•    </w:t>
      </w:r>
      <w:r>
        <w:rPr>
          <w:rFonts w:ascii="Calibri" w:hAnsi="Calibri" w:cs="Calibri"/>
          <w:b w:val="0"/>
          <w:i w:val="0"/>
          <w:color w:val="1A1F1C"/>
          <w:sz w:val="22"/>
        </w:rPr>
        <w:t>I will use only Kalviro-approved materials and will not alter them.</w:t>
      </w:r>
    </w:p>
    <w:p>
      <w:pPr>
        <w:spacing w:before="0" w:after="80" w:line="276" w:lineRule="auto"/>
        <w:ind w:left="340"/>
        <w:jc w:val="both"/>
      </w:pPr>
      <w:r>
        <w:rPr>
          <w:rFonts w:ascii="Calibri" w:hAnsi="Calibri" w:cs="Calibri"/>
          <w:b w:val="0"/>
          <w:i w:val="0"/>
          <w:color w:val="1F6B3A"/>
          <w:sz w:val="22"/>
        </w:rPr>
        <w:t xml:space="preserve">•    </w:t>
      </w:r>
      <w:r>
        <w:rPr>
          <w:rFonts w:ascii="Calibri" w:hAnsi="Calibri" w:cs="Calibri"/>
          <w:b w:val="0"/>
          <w:i w:val="0"/>
          <w:color w:val="1A1F1C"/>
          <w:sz w:val="22"/>
        </w:rPr>
        <w:t>I will not refer a fund until I have accepted Kalviro’s written terms for that fund.</w:t>
      </w:r>
    </w:p>
    <w:p>
      <w:pPr>
        <w:spacing w:before="0" w:after="80" w:line="276" w:lineRule="auto"/>
        <w:ind w:left="340"/>
        <w:jc w:val="both"/>
      </w:pPr>
      <w:r>
        <w:rPr>
          <w:rFonts w:ascii="Calibri" w:hAnsi="Calibri" w:cs="Calibri"/>
          <w:b w:val="0"/>
          <w:i w:val="0"/>
          <w:color w:val="1F6B3A"/>
          <w:sz w:val="22"/>
        </w:rPr>
        <w:t xml:space="preserve">•    </w:t>
      </w:r>
      <w:r>
        <w:rPr>
          <w:rFonts w:ascii="Calibri" w:hAnsi="Calibri" w:cs="Calibri"/>
          <w:b w:val="0"/>
          <w:i w:val="0"/>
          <w:color w:val="1A1F1C"/>
          <w:sz w:val="22"/>
        </w:rPr>
        <w:t>I will keep referred persons’ information confidential and share it with Kalviro only for the referral.</w:t>
      </w:r>
    </w:p>
    <w:p>
      <w:pPr>
        <w:spacing w:before="0" w:after="80" w:line="276" w:lineRule="auto"/>
        <w:ind w:left="340"/>
        <w:jc w:val="both"/>
      </w:pPr>
      <w:r>
        <w:rPr>
          <w:rFonts w:ascii="Calibri" w:hAnsi="Calibri" w:cs="Calibri"/>
          <w:b w:val="0"/>
          <w:i w:val="0"/>
          <w:color w:val="1F6B3A"/>
          <w:sz w:val="22"/>
        </w:rPr>
        <w:t xml:space="preserve">•    </w:t>
      </w:r>
      <w:r>
        <w:rPr>
          <w:rFonts w:ascii="Calibri" w:hAnsi="Calibri" w:cs="Calibri"/>
          <w:b w:val="0"/>
          <w:i w:val="0"/>
          <w:color w:val="1A1F1C"/>
          <w:sz w:val="22"/>
        </w:rPr>
        <w:t>I will notify Kalviro immediately if I am investigated, debarred or restricted by any regulator, or if a complaint is made in connection with a Kalviro referral.</w:t>
      </w:r>
    </w:p>
    <w:p>
      <w:pPr>
        <w:spacing w:before="0" w:after="80" w:line="276" w:lineRule="auto"/>
        <w:ind w:left="340"/>
        <w:jc w:val="both"/>
      </w:pPr>
      <w:r>
        <w:rPr>
          <w:rFonts w:ascii="Calibri" w:hAnsi="Calibri" w:cs="Calibri"/>
          <w:b w:val="0"/>
          <w:i w:val="0"/>
          <w:color w:val="1F6B3A"/>
          <w:sz w:val="22"/>
        </w:rPr>
        <w:t xml:space="preserve">•    </w:t>
      </w:r>
      <w:r>
        <w:rPr>
          <w:rFonts w:ascii="Calibri" w:hAnsi="Calibri" w:cs="Calibri"/>
          <w:b w:val="0"/>
          <w:i w:val="0"/>
          <w:color w:val="1A1F1C"/>
          <w:sz w:val="22"/>
        </w:rPr>
        <w:t>I understand that all regulated onboarding and advice (if any) is performed by Kalviro or the product provider, not by me.</w:t>
      </w:r>
    </w:p>
    <w:p>
      <w:pPr>
        <w:spacing w:before="240" w:after="120" w:line="276" w:lineRule="auto"/>
        <w:jc w:val="left"/>
      </w:pPr>
      <w:r>
        <w:rPr>
          <w:rFonts w:ascii="Calibri" w:hAnsi="Calibri" w:cs="Calibri"/>
          <w:b/>
          <w:i w:val="0"/>
          <w:color w:val="0F3D24"/>
          <w:sz w:val="22"/>
        </w:rPr>
        <w:t>Partner acknowledgement</w:t>
      </w:r>
    </w:p>
    <w:p>
      <w:pPr>
        <w:spacing w:before="0" w:after="200" w:line="276" w:lineRule="auto"/>
        <w:jc w:val="left"/>
      </w:pPr>
      <w:r>
        <w:rPr>
          <w:rFonts w:ascii="Calibri" w:hAnsi="Calibri" w:cs="Calibri"/>
          <w:b w:val="0"/>
          <w:i w:val="0"/>
          <w:color w:val="1A1F1C"/>
          <w:sz w:val="22"/>
        </w:rPr>
        <w:t>Name ______________________________     Signature ______________________________</w:t>
      </w:r>
    </w:p>
    <w:p>
      <w:pPr>
        <w:spacing w:before="0" w:after="280" w:line="276" w:lineRule="auto"/>
        <w:jc w:val="left"/>
      </w:pPr>
      <w:r>
        <w:rPr>
          <w:rFonts w:ascii="Calibri" w:hAnsi="Calibri" w:cs="Calibri"/>
          <w:b w:val="0"/>
          <w:i w:val="0"/>
          <w:color w:val="1A1F1C"/>
          <w:sz w:val="22"/>
        </w:rPr>
        <w:t>Date ______________________________     Place ______________________________</w:t>
      </w:r>
    </w:p>
    <w:p>
      <w:pPr>
        <w:spacing w:before="160" w:after="160" w:line="276" w:lineRule="auto"/>
        <w:jc w:val="left"/>
        <w:pBdr>
          <w:bottom w:val="single" w:sz="6" w:space="1" w:color="C8D4CC"/>
        </w:pBdr>
      </w:pPr>
      <w:r>
        <w:rPr>
          <w:rFonts w:ascii="Calibri" w:hAnsi="Calibri" w:cs="Calibri"/>
          <w:b/>
          <w:i w:val="0"/>
          <w:color w:val="0F3D24"/>
          <w:sz w:val="26"/>
        </w:rPr>
        <w:t>EXECUTION</w:t>
      </w:r>
    </w:p>
    <w:p>
      <w:pPr>
        <w:spacing w:before="0" w:after="240" w:line="276" w:lineRule="auto"/>
        <w:jc w:val="both"/>
      </w:pPr>
      <w:r>
        <w:rPr>
          <w:rFonts w:ascii="Calibri" w:hAnsi="Calibri" w:cs="Calibri"/>
          <w:b w:val="0"/>
          <w:i w:val="0"/>
          <w:color w:val="1A1F1C"/>
          <w:sz w:val="22"/>
        </w:rPr>
        <w:t>IN WITNESS WHEREOF the Parties have executed this Agreement on the Effective Date.</w:t>
      </w:r>
    </w:p>
    <w:tbl>
      <w:tblPr>
        <w:tblW w:type="dxa" w:w="9355"/>
        <w:jc w:val="center"/>
        <w:tblLayout w:type="fixed"/>
        <w:tblLook w:firstColumn="1" w:firstRow="1" w:lastColumn="0" w:lastRow="0" w:noHBand="0" w:noVBand="1" w:val="04A0"/>
        <w:tblBorders>
          <w:top w:val="nil" w:sz="0" w:space="0" w:color="FFFFFF"/>
          <w:left w:val="nil" w:sz="0" w:space="0" w:color="FFFFFF"/>
          <w:bottom w:val="nil" w:sz="0" w:space="0" w:color="FFFFFF"/>
          <w:right w:val="nil" w:sz="0" w:space="0" w:color="FFFFFF"/>
          <w:insideH w:val="nil" w:sz="0" w:space="0" w:color="FFFFFF"/>
          <w:insideV w:val="nil" w:sz="0" w:space="0" w:color="FFFFFF"/>
        </w:tblBorders>
      </w:tblPr>
      <w:tblGrid>
        <w:gridCol w:w="4819"/>
        <w:gridCol w:w="4819"/>
      </w:tblGrid>
      <w:tr>
        <w:tc>
          <w:tcPr>
            <w:tcW w:type="dxa" w:w="4649"/>
          </w:tcPr>
          <w:p>
            <w:pPr>
              <w:spacing w:after="160"/>
            </w:pPr>
            <w:r>
              <w:rPr>
                <w:rFonts w:ascii="Calibri" w:hAnsi="Calibri" w:cs="Calibri"/>
                <w:b/>
                <w:i w:val="0"/>
                <w:color w:val="0F3D24"/>
                <w:sz w:val="22"/>
              </w:rPr>
              <w:t>For Kalviro Ventures LLP</w:t>
            </w:r>
          </w:p>
          <w:p>
            <w:pPr>
              <w:spacing w:before="200" w:after="0"/>
            </w:pPr>
            <w:r>
              <w:rPr>
                <w:rFonts w:ascii="Calibri" w:hAnsi="Calibri" w:cs="Calibri"/>
                <w:b w:val="0"/>
                <w:i w:val="0"/>
                <w:color w:val="1A1F1C"/>
                <w:sz w:val="20"/>
              </w:rPr>
              <w:t>Signature: ______________________________</w:t>
            </w:r>
          </w:p>
          <w:p>
            <w:pPr>
              <w:spacing w:before="200" w:after="0"/>
            </w:pPr>
            <w:r>
              <w:rPr>
                <w:rFonts w:ascii="Calibri" w:hAnsi="Calibri" w:cs="Calibri"/>
                <w:b w:val="0"/>
                <w:i w:val="0"/>
                <w:color w:val="1A1F1C"/>
                <w:sz w:val="20"/>
              </w:rPr>
              <w:t>Name: Shrenik Shah / Authorised Signatory</w:t>
            </w:r>
          </w:p>
          <w:p>
            <w:pPr>
              <w:spacing w:before="200" w:after="0"/>
            </w:pPr>
            <w:r>
              <w:rPr>
                <w:rFonts w:ascii="Calibri" w:hAnsi="Calibri" w:cs="Calibri"/>
                <w:b w:val="0"/>
                <w:i w:val="0"/>
                <w:color w:val="1A1F1C"/>
                <w:sz w:val="20"/>
              </w:rPr>
              <w:t>Designation: Managing Partner</w:t>
            </w:r>
          </w:p>
          <w:p>
            <w:pPr>
              <w:spacing w:before="200" w:after="0"/>
            </w:pPr>
            <w:r>
              <w:rPr>
                <w:rFonts w:ascii="Calibri" w:hAnsi="Calibri" w:cs="Calibri"/>
                <w:b w:val="0"/>
                <w:i w:val="0"/>
                <w:color w:val="1A1F1C"/>
                <w:sz w:val="20"/>
              </w:rPr>
              <w:t>Date: _________________________________</w:t>
            </w:r>
          </w:p>
          <w:p>
            <w:pPr>
              <w:spacing w:before="200" w:after="0"/>
            </w:pPr>
            <w:r>
              <w:rPr>
                <w:rFonts w:ascii="Calibri" w:hAnsi="Calibri" w:cs="Calibri"/>
                <w:b w:val="0"/>
                <w:i w:val="0"/>
                <w:color w:val="1A1F1C"/>
                <w:sz w:val="20"/>
              </w:rPr>
              <w:t>Place: Chennai</w:t>
            </w:r>
          </w:p>
          <w:p>
            <w:pPr>
              <w:spacing w:before="200" w:after="0"/>
            </w:pPr>
            <w:r>
              <w:rPr>
                <w:rFonts w:ascii="Calibri" w:hAnsi="Calibri" w:cs="Calibri"/>
                <w:b w:val="0"/>
                <w:i w:val="0"/>
                <w:color w:val="1A1F1C"/>
                <w:sz w:val="20"/>
              </w:rPr>
              <w:t>Stamp / seal (if used): ________________</w:t>
            </w:r>
          </w:p>
        </w:tc>
        <w:tc>
          <w:tcPr>
            <w:tcW w:type="dxa" w:w="4706"/>
          </w:tcPr>
          <w:p>
            <w:pPr>
              <w:spacing w:after="160"/>
            </w:pPr>
            <w:r>
              <w:rPr>
                <w:rFonts w:ascii="Calibri" w:hAnsi="Calibri" w:cs="Calibri"/>
                <w:b/>
                <w:i w:val="0"/>
                <w:color w:val="0F3D24"/>
                <w:sz w:val="22"/>
              </w:rPr>
              <w:t>For the Partner</w:t>
            </w:r>
          </w:p>
          <w:p>
            <w:pPr>
              <w:spacing w:before="200" w:after="0"/>
            </w:pPr>
            <w:r>
              <w:rPr>
                <w:rFonts w:ascii="Calibri" w:hAnsi="Calibri" w:cs="Calibri"/>
                <w:b w:val="0"/>
                <w:i w:val="0"/>
                <w:color w:val="1A1F1C"/>
                <w:sz w:val="20"/>
              </w:rPr>
              <w:t>Signature: ______________________________</w:t>
            </w:r>
          </w:p>
          <w:p>
            <w:pPr>
              <w:spacing w:before="200" w:after="0"/>
            </w:pPr>
            <w:r>
              <w:rPr>
                <w:rFonts w:ascii="Calibri" w:hAnsi="Calibri" w:cs="Calibri"/>
                <w:b w:val="0"/>
                <w:i w:val="0"/>
                <w:color w:val="1A1F1C"/>
                <w:sz w:val="20"/>
              </w:rPr>
              <w:t>Name: _________________________________</w:t>
            </w:r>
          </w:p>
          <w:p>
            <w:pPr>
              <w:spacing w:before="200" w:after="0"/>
            </w:pPr>
            <w:r>
              <w:rPr>
                <w:rFonts w:ascii="Calibri" w:hAnsi="Calibri" w:cs="Calibri"/>
                <w:b w:val="0"/>
                <w:i w:val="0"/>
                <w:color w:val="1A1F1C"/>
                <w:sz w:val="20"/>
              </w:rPr>
              <w:t>Designation / capacity: ________________</w:t>
            </w:r>
          </w:p>
          <w:p>
            <w:pPr>
              <w:spacing w:before="200" w:after="0"/>
            </w:pPr>
            <w:r>
              <w:rPr>
                <w:rFonts w:ascii="Calibri" w:hAnsi="Calibri" w:cs="Calibri"/>
                <w:b w:val="0"/>
                <w:i w:val="0"/>
                <w:color w:val="1A1F1C"/>
                <w:sz w:val="20"/>
              </w:rPr>
              <w:t>PAN: __________________________________</w:t>
            </w:r>
          </w:p>
          <w:p>
            <w:pPr>
              <w:spacing w:before="200" w:after="0"/>
            </w:pPr>
            <w:r>
              <w:rPr>
                <w:rFonts w:ascii="Calibri" w:hAnsi="Calibri" w:cs="Calibri"/>
                <w:b w:val="0"/>
                <w:i w:val="0"/>
                <w:color w:val="1A1F1C"/>
                <w:sz w:val="20"/>
              </w:rPr>
              <w:t>Date: _________________________________</w:t>
            </w:r>
          </w:p>
          <w:p>
            <w:pPr>
              <w:spacing w:before="200" w:after="0"/>
            </w:pPr>
            <w:r>
              <w:rPr>
                <w:rFonts w:ascii="Calibri" w:hAnsi="Calibri" w:cs="Calibri"/>
                <w:b w:val="0"/>
                <w:i w:val="0"/>
                <w:color w:val="1A1F1C"/>
                <w:sz w:val="20"/>
              </w:rPr>
              <w:t>Place: ________________________________</w:t>
            </w:r>
          </w:p>
        </w:tc>
      </w:tr>
    </w:tbl>
    <w:p>
      <w:pPr>
        <w:spacing w:before="320" w:after="80" w:line="276" w:lineRule="auto"/>
        <w:jc w:val="left"/>
      </w:pPr>
    </w:p>
    <w:p>
      <w:pPr>
        <w:spacing w:before="0" w:after="160" w:line="276" w:lineRule="auto"/>
        <w:jc w:val="left"/>
      </w:pPr>
      <w:r>
        <w:rPr>
          <w:rFonts w:ascii="Calibri" w:hAnsi="Calibri" w:cs="Calibri"/>
          <w:b w:val="0"/>
          <w:i/>
          <w:color w:val="5C6560"/>
          <w:sz w:val="16"/>
        </w:rPr>
        <w:t>This document is a commercial contract template for Kalviro Ventures LLP. Have Indian counsel review it before first use and after any regulatory change.</w:t>
      </w:r>
    </w:p>
    <w:sectPr w:rsidR="00FC693F" w:rsidRPr="0006063C" w:rsidSect="00034616">
      <w:headerReference w:type="default" r:id="rId9"/>
      <w:footerReference w:type="default" r:id="rId10"/>
      <w:pgSz w:w="11906" w:h="16838"/>
      <w:pgMar w:top="1928" w:right="1134" w:bottom="1247" w:left="1134"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bottom w:val="single" w:sz="8" w:space="1" w:color="C8D4CC"/>
      </w:pBdr>
    </w:pPr>
  </w:p>
  <w:p>
    <w:pPr>
      <w:jc w:val="left"/>
    </w:pPr>
    <w:r>
      <w:rPr>
        <w:rFonts w:ascii="Calibri" w:hAnsi="Calibri" w:cs="Calibri"/>
        <w:b w:val="0"/>
        <w:i w:val="0"/>
        <w:color w:val="5C6560"/>
        <w:sz w:val="16"/>
      </w:rPr>
      <w:t>Confidential  ·  Partner Distribution Agreement  ·  KVL-PDA-2026-09  ·  Introducer arrangement only</w:t>
    </w:r>
  </w:p>
  <w:p>
    <w:pPr>
      <w:jc w:val="right"/>
    </w:pPr>
    <w:r>
      <w:rPr>
        <w:rFonts w:ascii="Calibri" w:hAnsi="Calibri" w:cs="Calibri"/>
        <w:b w:val="0"/>
        <w:i w:val="0"/>
        <w:color w:val="5C6560"/>
        <w:sz w:val="16"/>
      </w:rPr>
      <w:t xml:space="preserve">Page </w:t>
    </w:r>
    <w:r>
      <w:rPr>
        <w:rFonts w:ascii="Calibri" w:hAnsi="Calibri" w:cs="Calibri"/>
        <w:b w:val="0"/>
        <w:i w:val="0"/>
        <w:color w:val="5C6560"/>
        <w:sz w:val="16"/>
      </w:rPr>
      <w:fldChar w:fldCharType="begin"/>
      <w:instrText xml:space="preserve"> PAGE </w:instrText>
      <w:fldChar w:fldCharType="end"/>
    </w:r>
    <w:r>
      <w:rPr>
        <w:rFonts w:ascii="Calibri" w:hAnsi="Calibri" w:cs="Calibri"/>
        <w:b w:val="0"/>
        <w:i w:val="0"/>
        <w:color w:val="5C6560"/>
        <w:sz w:val="16"/>
      </w:rPr>
      <w:t xml:space="preserve"> of </w:t>
    </w:r>
    <w:r>
      <w:rPr>
        <w:rFonts w:ascii="Calibri" w:hAnsi="Calibri" w:cs="Calibri"/>
        <w:b w:val="0"/>
        <w:i w:val="0"/>
        <w:color w:val="5C6560"/>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ook w:firstColumn="1" w:firstRow="1" w:lastColumn="0" w:lastRow="0" w:noHBand="0" w:noVBand="1" w:val="04A0"/>
      <w:tblBorders>
        <w:top w:val="nil" w:sz="0" w:space="0" w:color="FFFFFF"/>
        <w:left w:val="nil" w:sz="0" w:space="0" w:color="FFFFFF"/>
        <w:bottom w:val="nil" w:sz="0" w:space="0" w:color="FFFFFF"/>
        <w:right w:val="nil" w:sz="0" w:space="0" w:color="FFFFFF"/>
        <w:insideH w:val="nil" w:sz="0" w:space="0" w:color="FFFFFF"/>
        <w:insideV w:val="nil" w:sz="0" w:space="0" w:color="FFFFFF"/>
      </w:tblBorders>
    </w:tblPr>
    <w:tblGrid>
      <w:gridCol w:w="4819"/>
      <w:gridCol w:w="4819"/>
    </w:tblGrid>
    <w:tr>
      <w:tc>
        <w:tcPr>
          <w:tcW w:type="dxa" w:w="3288"/>
        </w:tcPr>
        <w:p>
          <w:pPr>
            <w:jc w:val="left"/>
          </w:pPr>
          <w:r>
            <w:drawing>
              <wp:inline xmlns:a="http://schemas.openxmlformats.org/drawingml/2006/main" xmlns:pic="http://schemas.openxmlformats.org/drawingml/2006/picture">
                <wp:extent cx="1655999" cy="1103999"/>
                <wp:docPr id="1" name="Picture 1"/>
                <wp:cNvGraphicFramePr>
                  <a:graphicFrameLocks noChangeAspect="1"/>
                </wp:cNvGraphicFramePr>
                <a:graphic>
                  <a:graphicData uri="http://schemas.openxmlformats.org/drawingml/2006/picture">
                    <pic:pic>
                      <pic:nvPicPr>
                        <pic:cNvPr id="0" name="image1.jpg"/>
                        <pic:cNvPicPr/>
                      </pic:nvPicPr>
                      <pic:blipFill>
                        <a:blip r:embed="rId1"/>
                        <a:stretch>
                          <a:fillRect/>
                        </a:stretch>
                      </pic:blipFill>
                      <pic:spPr>
                        <a:xfrm>
                          <a:off x="0" y="0"/>
                          <a:ext cx="1655999" cy="1103999"/>
                        </a:xfrm>
                        <a:prstGeom prst="rect"/>
                      </pic:spPr>
                    </pic:pic>
                  </a:graphicData>
                </a:graphic>
              </wp:inline>
            </w:drawing>
          </w:r>
        </w:p>
      </w:tc>
      <w:tc>
        <w:tcPr>
          <w:tcW w:type="dxa" w:w="6350"/>
        </w:tcPr>
        <w:p>
          <w:pPr>
            <w:jc w:val="right"/>
          </w:pPr>
          <w:r>
            <w:rPr>
              <w:rFonts w:ascii="Calibri" w:hAnsi="Calibri" w:cs="Calibri"/>
              <w:b/>
              <w:i w:val="0"/>
              <w:color w:val="0F3D24"/>
              <w:sz w:val="22"/>
            </w:rPr>
            <w:t>KALVIRO VENTURES LLP</w:t>
          </w:r>
        </w:p>
        <w:p>
          <w:pPr>
            <w:jc w:val="right"/>
          </w:pPr>
          <w:r>
            <w:rPr>
              <w:rFonts w:ascii="Calibri" w:hAnsi="Calibri" w:cs="Calibri"/>
              <w:b w:val="0"/>
              <w:i w:val="0"/>
              <w:color w:val="5C6560"/>
              <w:sz w:val="16"/>
            </w:rPr>
            <w:t>No. 1 Cooks Road, SPR City, A-2904</w:t>
            <w:br/>
            <w:t>Chennai 600012, Tamil Nadu, India</w:t>
          </w:r>
        </w:p>
        <w:p>
          <w:pPr>
            <w:jc w:val="right"/>
          </w:pPr>
          <w:r>
            <w:rPr>
              <w:rFonts w:ascii="Calibri" w:hAnsi="Calibri" w:cs="Calibri"/>
              <w:b w:val="0"/>
              <w:i w:val="0"/>
              <w:color w:val="5C6560"/>
              <w:sz w:val="16"/>
            </w:rPr>
            <w:t>+91 78100 08444  ·  info@kalviroventures.com  ·  www.kalviroventures.com</w:t>
          </w:r>
        </w:p>
      </w:tc>
    </w:tr>
  </w:tbl>
  <w:p>
    <w:pPr>
      <w:pBdr>
        <w:bottom w:val="single" w:sz="14" w:space="1" w:color="1F6B3A"/>
      </w:pBdr>
      <w:spacing w:before="40" w:after="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