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b/>
          <w:color w:val="0F3D24"/>
          <w:sz w:val="28"/>
        </w:rPr>
        <w:t>REFERRAL PARTNER AGREEMENT</w:t>
      </w:r>
    </w:p>
    <w:p>
      <w:pPr>
        <w:jc w:val="center"/>
      </w:pPr>
      <w:r>
        <w:rPr>
          <w:i/>
          <w:sz w:val="20"/>
        </w:rPr>
        <w:t>(Introducer / Referral Arrangement — PMS, AIF &amp; GIFT City)</w:t>
      </w:r>
    </w:p>
    <w:p/>
    <w:p>
      <w:r>
        <w:rPr>
          <w:sz w:val="20"/>
        </w:rPr>
        <w:t>This Referral Partner Agreement (“Agreement”) is made at Chennai on _________________ (“Effective Date”)</w:t>
      </w:r>
    </w:p>
    <w:p/>
    <w:p>
      <w:r>
        <w:rPr>
          <w:b/>
          <w:sz w:val="20"/>
        </w:rPr>
        <w:t>BETWEEN</w:t>
      </w:r>
    </w:p>
    <w:p>
      <w:r>
        <w:rPr>
          <w:sz w:val="20"/>
        </w:rPr>
        <w:t>Kalviro Ventures LLP, a Limited Liability Partnership registered in India, having its office at No 1 Cooks Road, SPR City, A-2904, Chennai 600012, Tamil Nadu, APMI Registration No. APRN-06567 and AMFI Registration No. ARN-335497 (“Kalviro” or “Company”);</w:t>
      </w:r>
    </w:p>
    <w:p/>
    <w:p>
      <w:r>
        <w:rPr>
          <w:b/>
          <w:sz w:val="20"/>
        </w:rPr>
        <w:t>AND</w:t>
      </w:r>
    </w:p>
    <w:p>
      <w:r>
        <w:rPr>
          <w:sz w:val="20"/>
        </w:rPr>
        <w:t>__________________________________________, an individual / proprietorship / firm, having PAN __________________, residing / having office at __________________________________________ (“Referral Partner” or “Partner”).</w:t>
      </w:r>
    </w:p>
    <w:p>
      <w:r>
        <w:rPr>
          <w:sz w:val="20"/>
        </w:rPr>
        <w:t>Kalviro and the Referral Partner are individually a “Party” and collectively the “Parties”.</w:t>
      </w:r>
    </w:p>
    <w:p/>
    <w:p>
      <w:r>
        <w:rPr>
          <w:b/>
          <w:color w:val="1A5C1A"/>
          <w:sz w:val="22"/>
        </w:rPr>
        <w:t>1. BACKGROUND</w:t>
      </w:r>
    </w:p>
    <w:p>
      <w:r>
        <w:rPr>
          <w:sz w:val="20"/>
        </w:rPr>
        <w:t>Kalviro is engaged in the business of facilitating access to Portfolio Management Services (PMS), Alternative Investment Funds (AIF), and GIFT City / IFSC investment products for eligible investors.</w:t>
      </w:r>
    </w:p>
    <w:p>
      <w:r>
        <w:rPr>
          <w:sz w:val="20"/>
        </w:rPr>
        <w:t>The Partner wishes to refer potential investors to Kalviro on a non-exclusive basis.</w:t>
      </w:r>
    </w:p>
    <w:p>
      <w:r>
        <w:rPr>
          <w:sz w:val="20"/>
        </w:rPr>
        <w:t>Kalviro wishes to appoint the Partner as a referral partner on the terms set out in this Agreement.</w:t>
      </w:r>
    </w:p>
    <w:p>
      <w:r>
        <w:rPr>
          <w:sz w:val="20"/>
        </w:rPr>
        <w:t>The Partner is NOT being appointed as a portfolio management services distributor, placement agent, or investment adviser unless separately registered and expressly agreed in writing.</w:t>
      </w:r>
    </w:p>
    <w:p/>
    <w:p>
      <w:r>
        <w:rPr>
          <w:b/>
          <w:color w:val="1A5C1A"/>
          <w:sz w:val="22"/>
        </w:rPr>
        <w:t>2. DEFINITIONS</w:t>
      </w:r>
    </w:p>
    <w:p>
      <w:r>
        <w:rPr>
          <w:sz w:val="20"/>
        </w:rPr>
        <w:t>“Applicable Law” means all laws, rules, regulations, guidelines, and circulars applicable in India, including SEBI regulations, APMI guidelines, IFSCA regulations (where relevant), PMLA, and the Digital Personal Data Protection Act, 2023.</w:t>
      </w:r>
    </w:p>
    <w:p>
      <w:r>
        <w:rPr>
          <w:sz w:val="20"/>
        </w:rPr>
        <w:t>“Qualifying Referral” means a referred investor who (a) was first introduced to Kalviro by the Partner using the Partner’s referral code or written intimation accepted by Kalviro; (b) completes investor onboarding and KYC with Kalviro; and (c) makes a Qualifying Investment within the Referral Validity Period, as confirmed in writing by Kalviro.</w:t>
      </w:r>
    </w:p>
    <w:p>
      <w:r>
        <w:rPr>
          <w:sz w:val="20"/>
        </w:rPr>
        <w:t>“Qualifying Investment” means a completed investment by the referred investor in a Product listed in Schedule A, in minimum ticket size or above, which is accepted and onboarded by the relevant portfolio manager, AIF, or GIFT City product provider through Kalviro.</w:t>
      </w:r>
    </w:p>
    <w:p>
      <w:r>
        <w:rPr>
          <w:sz w:val="20"/>
        </w:rPr>
        <w:t>“Net Revenue” means the trail commission, placement fee, or distribution fee actually received by Kalviro from the relevant AMC, portfolio manager, AIF sponsor, or GIFT City product provider in respect of a Qualifying Investment, after reversals, chargebacks, clawbacks, and any taxes deducted at source by the payer, but before TDS on referral fee payable by Kalviro to the Partner. Net Revenue excludes any amount not yet received by Kalviro.</w:t>
      </w:r>
    </w:p>
    <w:p>
      <w:r>
        <w:rPr>
          <w:sz w:val="20"/>
        </w:rPr>
        <w:t>“Referral Fee” means the amount payable by Kalviro to the Partner as calculated under Schedule B and any fund-specific written confirmation issued by Kalviro.</w:t>
      </w:r>
    </w:p>
    <w:p>
      <w:r>
        <w:rPr>
          <w:sz w:val="20"/>
        </w:rPr>
        <w:t>“Products” means PMS, AIF, and GIFT City investment products facilitated by Kalviro, as listed in Schedule A.</w:t>
      </w:r>
    </w:p>
    <w:p>
      <w:r>
        <w:rPr>
          <w:sz w:val="20"/>
        </w:rPr>
        <w:t>“Referral Validity Period” means twelve (12) months from the date Kalviro acknowledges the referral in writing, unless extended by Kalviro.</w:t>
      </w:r>
    </w:p>
    <w:p/>
    <w:p>
      <w:r>
        <w:rPr>
          <w:b/>
          <w:color w:val="1A5C1A"/>
          <w:sz w:val="22"/>
        </w:rPr>
        <w:t>3. APPOINTMENT &amp; SCOPE</w:t>
      </w:r>
    </w:p>
    <w:p>
      <w:r>
        <w:rPr>
          <w:sz w:val="20"/>
        </w:rPr>
        <w:t>Kalviro appoints the Partner as a non-exclusive referral partner for the Products.</w:t>
      </w:r>
    </w:p>
    <w:p>
      <w:r>
        <w:rPr>
          <w:sz w:val="20"/>
        </w:rPr>
        <w:t>The Partner may refer potential investors to Kalviro by sharing the Partner’s referral code, email introduction, or Kalviro-approved referral form.</w:t>
      </w:r>
    </w:p>
    <w:p>
      <w:r>
        <w:rPr>
          <w:sz w:val="20"/>
        </w:rPr>
        <w:t>The Partner’s role is limited to introduction and referral. All investor onboarding, suitability assessment, documentation, regulatory disclosures, and execution shall be undertaken solely by Kalviro.</w:t>
      </w:r>
    </w:p>
    <w:p>
      <w:r>
        <w:rPr>
          <w:sz w:val="20"/>
        </w:rPr>
        <w:t>The Partner shall not hold itself out as a SEBI-registered intermediary, APMI-registered PMS distributor, investment adviser, or authorised representative of any portfolio manager or AIF unless separately registered and authorised.</w:t>
      </w:r>
    </w:p>
    <w:p/>
    <w:p>
      <w:r>
        <w:rPr>
          <w:b/>
          <w:color w:val="1A5C1A"/>
          <w:sz w:val="22"/>
        </w:rPr>
        <w:t>4. PARTNER OBLIGATIONS</w:t>
      </w:r>
    </w:p>
    <w:p>
      <w:r>
        <w:rPr>
          <w:sz w:val="20"/>
        </w:rPr>
        <w:t>Provide true and complete referral information and update Kalviro if details change.</w:t>
      </w:r>
    </w:p>
    <w:p>
      <w:r>
        <w:rPr>
          <w:sz w:val="20"/>
        </w:rPr>
        <w:t>Refer only investors the Partner reasonably believes may meet product eligibility criteria.</w:t>
      </w:r>
    </w:p>
    <w:p>
      <w:r>
        <w:rPr>
          <w:sz w:val="20"/>
        </w:rPr>
        <w:t>Not guarantee returns, assure capital safety, or make misleading statements about any Product.</w:t>
      </w:r>
    </w:p>
    <w:p>
      <w:r>
        <w:rPr>
          <w:sz w:val="20"/>
        </w:rPr>
        <w:t>Not provide investment advice, product recommendations, or comparative suitability analysis unless independently registered and permitted by law.</w:t>
      </w:r>
    </w:p>
    <w:p>
      <w:r>
        <w:rPr>
          <w:sz w:val="20"/>
        </w:rPr>
        <w:t>Not collect investor monies, cheques, application forms, or KYC documents on behalf of Kalviro unless expressly authorised in writing for a specific transaction.</w:t>
      </w:r>
    </w:p>
    <w:p>
      <w:r>
        <w:rPr>
          <w:sz w:val="20"/>
        </w:rPr>
        <w:t>Comply with the Code of Conduct Declaration signed by the Partner (Annexure 1).</w:t>
      </w:r>
    </w:p>
    <w:p>
      <w:r>
        <w:rPr>
          <w:sz w:val="20"/>
        </w:rPr>
        <w:t>Comply with Applicable Law, including anti-money laundering and anti-bribery requirements.</w:t>
      </w:r>
    </w:p>
    <w:p>
      <w:r>
        <w:rPr>
          <w:sz w:val="20"/>
        </w:rPr>
        <w:t>Use only Kalviro-approved marketing material when sharing information about Kalviro or the Products.</w:t>
      </w:r>
    </w:p>
    <w:p/>
    <w:p>
      <w:r>
        <w:rPr>
          <w:b/>
          <w:color w:val="1A5C1A"/>
          <w:sz w:val="22"/>
        </w:rPr>
        <w:t>5. REFERRAL PROCESS</w:t>
      </w:r>
    </w:p>
    <w:p>
      <w:r>
        <w:rPr>
          <w:sz w:val="20"/>
        </w:rPr>
        <w:t>Step 1: Partner submits referral details (investor name, contact, product interest) to info@kalviroventures.com or through Kalviro’s designated referral channel.</w:t>
      </w:r>
    </w:p>
    <w:p>
      <w:r>
        <w:rPr>
          <w:sz w:val="20"/>
        </w:rPr>
        <w:t>Step 2: Kalviro acknowledges the referral in writing and assigns a referral tracking reference.</w:t>
      </w:r>
    </w:p>
    <w:p>
      <w:r>
        <w:rPr>
          <w:sz w:val="20"/>
        </w:rPr>
        <w:t>Step 3: Kalviro contacts the investor directly and conducts regulated onboarding.</w:t>
      </w:r>
    </w:p>
    <w:p>
      <w:r>
        <w:rPr>
          <w:sz w:val="20"/>
        </w:rPr>
        <w:t>Step 4: If the investor completes a Qualifying Investment within the Referral Validity Period, Kalviro shall record the transaction as a Qualifying Referral attributable to the Partner.</w:t>
      </w:r>
    </w:p>
    <w:p>
      <w:r>
        <w:rPr>
          <w:sz w:val="20"/>
        </w:rPr>
        <w:t>Priority: If the investor was already in active discussion with Kalviro prior to the referral, Kalviro may exclude the referral at its reasonable discretion.</w:t>
      </w:r>
    </w:p>
    <w:p/>
    <w:p>
      <w:r>
        <w:rPr>
          <w:b/>
          <w:color w:val="1A5C1A"/>
          <w:sz w:val="22"/>
        </w:rPr>
        <w:t>6. REFERRAL FEE, TRAIL &amp; PAYMENT</w:t>
      </w:r>
    </w:p>
    <w:p>
      <w:r>
        <w:rPr>
          <w:sz w:val="20"/>
        </w:rPr>
        <w:t>Subject to this Agreement, Kalviro may pay the Partner a Referral Fee equal to the applicable percentage of Net Revenue for each Qualifying Referral, as set out in Schedule B and/or in Kalviro’s fund-specific written disclosure (email or other written confirmation).</w:t>
      </w:r>
    </w:p>
    <w:p>
      <w:r>
        <w:rPr>
          <w:sz w:val="20"/>
        </w:rPr>
        <w:t>Unless a different percentage is confirmed in writing for a specific fund or Product, the default revenue share is fifty percent (50%) of Net Revenue received by Kalviro in respect of the relevant Qualifying Investment.</w:t>
      </w:r>
    </w:p>
    <w:p>
      <w:r>
        <w:rPr>
          <w:sz w:val="20"/>
        </w:rPr>
        <w:t>Fund-specific terms: For each fund, strategy, or Product, Kalviro will disclose applicable revenue share, trail structure, eligibility, and any exclusions on a case-by-case basis in writing (including by email). The Partner shall not refer, solicit, or market that fund until the Partner has replied to Kalviro’s email (or other written notice) with explicit confirmation of acceptance. Kalviro shall not activate dashboard login, referral tracking, or fund-specific referral permissions for that Product until such email confirmation is received and recorded.</w:t>
      </w:r>
    </w:p>
    <w:p>
      <w:r>
        <w:rPr>
          <w:sz w:val="20"/>
        </w:rPr>
        <w:t>Trail basis only: Referral Fee is payable only on trail, placement, or distribution components actually received by Kalviro from the relevant AMC or product provider. No upfront, guaranteed, or fixed fee is payable unless expressly agreed in writing for a specific transaction.</w:t>
      </w:r>
    </w:p>
    <w:p>
      <w:r>
        <w:rPr>
          <w:sz w:val="20"/>
        </w:rPr>
        <w:t>No receipt, no payment: Referral Fee shall be paid only on amounts actually received by Kalviro. No Referral Fee is payable on commitments, applications, soft commitments, or investments that are rejected, cancelled, reversed, or not funded.</w:t>
      </w:r>
    </w:p>
    <w:p>
      <w:r>
        <w:rPr>
          <w:sz w:val="20"/>
        </w:rPr>
        <w:t>Payment frequency: Referral Fees shall be paid on a quarterly basis, within thirty (30) days after the end of the calendar quarter in which Kalviro receives the corresponding Net Revenue from the AMC or product provider (or such longer period as may be inherent in the AMC’s own payment cycle, as communicated by Kalviro). Kalviro may consolidate multiple funds or clients in one quarterly payout.</w:t>
      </w:r>
    </w:p>
    <w:p>
      <w:r>
        <w:rPr>
          <w:sz w:val="20"/>
        </w:rPr>
        <w:t>Kalviro may deduct TDS as required under the Income-tax Act, 1961 (including Section 194H, as applicable) and issue Form 16A or other prescribed certificate.</w:t>
      </w:r>
    </w:p>
    <w:p>
      <w:r>
        <w:rPr>
          <w:sz w:val="20"/>
        </w:rPr>
        <w:t>Payment shall be made to the bank account details provided by the Partner, after completion of Partner KYC, receipt of this signed Agreement, Code of Conduct Declaration, and satisfactory compliance review.</w:t>
      </w:r>
    </w:p>
    <w:p>
      <w:r>
        <w:rPr>
          <w:sz w:val="20"/>
        </w:rPr>
        <w:t>Kalviro may withhold, suspend, or offset Referral Fees if there is a dispute, regulatory inquiry, clawback, suspected mis-selling, incomplete documentation, or breach of this Agreement, until resolved.</w:t>
      </w:r>
    </w:p>
    <w:p/>
    <w:p>
      <w:r>
        <w:rPr>
          <w:b/>
          <w:color w:val="1A5C1A"/>
          <w:sz w:val="22"/>
        </w:rPr>
        <w:t>7. CLAWBACK &amp; SET-OFF</w:t>
      </w:r>
    </w:p>
    <w:p>
      <w:r>
        <w:rPr>
          <w:sz w:val="20"/>
        </w:rPr>
        <w:t>If a Qualifying Investment is reversed, refunded, or withdrawn within twelve (12) months of onboarding, or if Kalviro is required to refund any distribution, placement, or trail fee to an AMC or investor, Kalviro may recover the corresponding Referral Fee already paid from future payments or require the Partner to refund within fifteen (15) days of written demand.</w:t>
      </w:r>
    </w:p>
    <w:p>
      <w:r>
        <w:rPr>
          <w:sz w:val="20"/>
        </w:rPr>
        <w:t>Kalviro may set off any amount owed by the Partner against any Referral Fee or other amount payable to the Partner under this Agreement or any related arrangement.</w:t>
      </w:r>
    </w:p>
    <w:p/>
    <w:p>
      <w:r>
        <w:rPr>
          <w:b/>
          <w:color w:val="1A5C1A"/>
          <w:sz w:val="22"/>
        </w:rPr>
        <w:t>8. CODE OF CONDUCT</w:t>
      </w:r>
    </w:p>
    <w:p>
      <w:r>
        <w:rPr>
          <w:sz w:val="20"/>
        </w:rPr>
        <w:t>The Partner shall adhere to the Code of Conduct Declaration attached as Annexure 1, which forms an integral part of this Agreement.</w:t>
      </w:r>
    </w:p>
    <w:p>
      <w:r>
        <w:rPr>
          <w:sz w:val="20"/>
        </w:rPr>
        <w:t>Breach of the Code of Conduct may result in immediate suspension or termination and forfeiture of unpaid Referral Fees relating to non-compliant referrals.</w:t>
      </w:r>
    </w:p>
    <w:p/>
    <w:p>
      <w:r>
        <w:rPr>
          <w:b/>
          <w:color w:val="1A5C1A"/>
          <w:sz w:val="22"/>
        </w:rPr>
        <w:t>9. CONFIDENTIALITY &amp; DATA</w:t>
      </w:r>
    </w:p>
    <w:p>
      <w:r>
        <w:rPr>
          <w:sz w:val="20"/>
        </w:rPr>
        <w:t>Each Party shall keep confidential all non-public information received from the other Party or referred investors, except as required by law or regulators.</w:t>
      </w:r>
    </w:p>
    <w:p>
      <w:r>
        <w:rPr>
          <w:sz w:val="20"/>
        </w:rPr>
        <w:t>The Partner shall handle personal data of referred persons in compliance with Applicable Law and shall share such data with Kalviro only for referral purposes with appropriate consent where required.</w:t>
      </w:r>
    </w:p>
    <w:p/>
    <w:p>
      <w:r>
        <w:rPr>
          <w:b/>
          <w:color w:val="1A5C1A"/>
          <w:sz w:val="22"/>
        </w:rPr>
        <w:t>10. TERM &amp; TERMINATION</w:t>
      </w:r>
    </w:p>
    <w:p>
      <w:r>
        <w:rPr>
          <w:sz w:val="20"/>
        </w:rPr>
        <w:t>This Agreement commences on the Effective Date and continues until terminated.</w:t>
      </w:r>
    </w:p>
    <w:p>
      <w:r>
        <w:rPr>
          <w:sz w:val="20"/>
        </w:rPr>
        <w:t>Either Party may terminate with thirty (30) days’ written notice.</w:t>
      </w:r>
    </w:p>
    <w:p>
      <w:r>
        <w:rPr>
          <w:sz w:val="20"/>
        </w:rPr>
        <w:t>Kalviro may terminate immediately for material breach, regulatory concern, mis-selling, or misrepresentation.</w:t>
      </w:r>
    </w:p>
    <w:p>
      <w:r>
        <w:rPr>
          <w:sz w:val="20"/>
        </w:rPr>
        <w:t>Termination shall not affect accrued Referral Fees for Qualifying Referrals completed before termination, subject to clawback and compliance review.</w:t>
      </w:r>
    </w:p>
    <w:p/>
    <w:p>
      <w:r>
        <w:rPr>
          <w:b/>
          <w:color w:val="1A5C1A"/>
          <w:sz w:val="22"/>
        </w:rPr>
        <w:t>11. REPRESENTATIONS</w:t>
      </w:r>
    </w:p>
    <w:p>
      <w:r>
        <w:rPr>
          <w:sz w:val="20"/>
        </w:rPr>
        <w:t>The Partner represents that: (a) they have full authority to enter this Agreement; (b) information provided is true and complete; (c) they are not debarred by SEBI, APMI, or any regulator; (d) they are not a Politically Exposed Person unless disclosed in writing; (e) they understand they are a referrer only.</w:t>
      </w:r>
    </w:p>
    <w:p>
      <w:r>
        <w:rPr>
          <w:sz w:val="20"/>
        </w:rPr>
        <w:t>Kalviro represents that it is duly registered to undertake its distribution/intermediation activities for the Products it offers.</w:t>
      </w:r>
    </w:p>
    <w:p/>
    <w:p>
      <w:r>
        <w:rPr>
          <w:b/>
          <w:color w:val="1A5C1A"/>
          <w:sz w:val="22"/>
        </w:rPr>
        <w:t>12. INDEMNITY</w:t>
      </w:r>
    </w:p>
    <w:p>
      <w:r>
        <w:rPr>
          <w:sz w:val="20"/>
        </w:rPr>
        <w:t>The Partner shall indemnify, defend, and hold harmless Kalviro, its partners, employees, and representatives against all losses, claims, penalties, costs, and expenses (including reasonable legal fees) arising from: (a) the Partner’s breach of this Agreement or Applicable Law; (b) unauthorised advice, misrepresentation, or mis-selling by the Partner; (c) the Partner holding out as a regulated distributor, intermediary, or Kalviro representative; (d) the Partner’s handling of investor data or funds; or (e) any referral made without fund-specific written confirmation where required under Clause 6.</w:t>
      </w:r>
    </w:p>
    <w:p/>
    <w:p>
      <w:r>
        <w:rPr>
          <w:b/>
          <w:color w:val="1A5C1A"/>
          <w:sz w:val="22"/>
        </w:rPr>
        <w:t>13. LIMITATION OF LIABILITY &amp; NO GUARANTEE</w:t>
      </w:r>
    </w:p>
    <w:p>
      <w:r>
        <w:rPr>
          <w:sz w:val="20"/>
        </w:rPr>
        <w:t>Neither Party shall be liable for indirect, incidental, or consequential loss. Kalviro’s total liability under this Agreement shall not exceed the Referral Fees paid to the Partner in the preceding twelve (12) months.</w:t>
      </w:r>
    </w:p>
    <w:p>
      <w:r>
        <w:rPr>
          <w:sz w:val="20"/>
        </w:rPr>
        <w:t>Kalviro does not guarantee any minimum volume of referrals, investments, or Referral Fees. The Partner acknowledges that AMC payment cycles, trail accruals, and product terms are outside Kalviro’s control.</w:t>
      </w:r>
    </w:p>
    <w:p>
      <w:r>
        <w:rPr>
          <w:sz w:val="20"/>
        </w:rPr>
        <w:t>Kalviro’s determination of whether a referral qualifies, the applicable fund-specific share, and Net Revenue received shall be final for purposes of this Agreement, subject to manifest error.</w:t>
      </w:r>
    </w:p>
    <w:p/>
    <w:p>
      <w:r>
        <w:rPr>
          <w:b/>
          <w:color w:val="1A5C1A"/>
          <w:sz w:val="22"/>
        </w:rPr>
        <w:t>14. INDEPENDENT STATUS</w:t>
      </w:r>
    </w:p>
    <w:p>
      <w:r>
        <w:rPr>
          <w:sz w:val="20"/>
        </w:rPr>
        <w:t>The Partner is an independent contractor and referrer only. Nothing in this Agreement creates an employment, partnership, joint venture, agency, or franchise relationship. The Partner has no authority to bind Kalviro.</w:t>
      </w:r>
    </w:p>
    <w:p/>
    <w:p>
      <w:r>
        <w:rPr>
          <w:b/>
          <w:color w:val="1A5C1A"/>
          <w:sz w:val="22"/>
        </w:rPr>
        <w:t>15. GOVERNING LAW &amp; DISPUTES</w:t>
      </w:r>
    </w:p>
    <w:p>
      <w:r>
        <w:rPr>
          <w:sz w:val="20"/>
        </w:rPr>
        <w:t>This Agreement is governed by the laws of India. Courts at Chennai, Tamil Nadu shall have exclusive jurisdiction, subject to arbitration if the Parties later agree in writing.</w:t>
      </w:r>
    </w:p>
    <w:p/>
    <w:p>
      <w:r>
        <w:rPr>
          <w:b/>
          <w:color w:val="1A5C1A"/>
          <w:sz w:val="22"/>
        </w:rPr>
        <w:t>16. GENERAL</w:t>
      </w:r>
    </w:p>
    <w:p>
      <w:r>
        <w:rPr>
          <w:sz w:val="20"/>
        </w:rPr>
        <w:t>Amendments must be in writing signed by both Parties.</w:t>
      </w:r>
    </w:p>
    <w:p>
      <w:r>
        <w:rPr>
          <w:sz w:val="20"/>
        </w:rPr>
        <w:t>This Agreement supersedes prior discussions on the same subject.</w:t>
      </w:r>
    </w:p>
    <w:p>
      <w:r>
        <w:rPr>
          <w:sz w:val="20"/>
        </w:rPr>
        <w:t>Schedules and Annexures form part of this Agreement.</w:t>
      </w:r>
    </w:p>
    <w:p>
      <w:r>
        <w:rPr>
          <w:sz w:val="20"/>
        </w:rPr>
        <w:t>Signed scanned copies exchanged by email shall be valid for execution until originals are exchanged.</w:t>
      </w:r>
    </w:p>
    <w:p/>
    <w:p>
      <w:r>
        <w:rPr>
          <w:b/>
          <w:color w:val="1A5C1A"/>
          <w:sz w:val="22"/>
        </w:rPr>
        <w:t>SCHEDULE A — PRODUCTS COVERED</w:t>
      </w:r>
    </w:p>
    <w:p>
      <w:r>
        <w:rPr>
          <w:sz w:val="20"/>
        </w:rPr>
        <w:t>• Portfolio Management Services (PMS)</w:t>
      </w:r>
    </w:p>
    <w:p>
      <w:r>
        <w:rPr>
          <w:sz w:val="20"/>
        </w:rPr>
        <w:t>• Alternative Investment Funds (AIF) — Category I, II, and III (as empanelled)</w:t>
      </w:r>
    </w:p>
    <w:p>
      <w:r>
        <w:rPr>
          <w:sz w:val="20"/>
        </w:rPr>
        <w:t>• GIFT City / IFSC investment products (as empanelled)</w:t>
      </w:r>
    </w:p>
    <w:p>
      <w:r>
        <w:rPr>
          <w:sz w:val="20"/>
        </w:rPr>
        <w:t>• Exclusions: Mutual Funds (unless separately agreed in writing)</w:t>
      </w:r>
    </w:p>
    <w:p/>
    <w:p>
      <w:r>
        <w:rPr>
          <w:b/>
          <w:color w:val="1A5C1A"/>
          <w:sz w:val="22"/>
        </w:rPr>
        <w:t>SCHEDULE B — REFERRAL FEE (DEFAULT)</w:t>
      </w:r>
    </w:p>
    <w:p>
      <w:r>
        <w:rPr>
          <w:sz w:val="20"/>
        </w:rPr>
        <w:t>• Default share: 50% of Net Revenue actually received by Kalviro per Qualifying Investment, unless a different percentage is confirmed in writing for that fund.</w:t>
      </w:r>
    </w:p>
    <w:p>
      <w:r>
        <w:rPr>
          <w:sz w:val="20"/>
        </w:rPr>
        <w:t>• Payment: Quarterly, within 30 days after quarter-end in which Kalviro receives Net Revenue from the AMC.</w:t>
      </w:r>
    </w:p>
    <w:p>
      <w:r>
        <w:rPr>
          <w:sz w:val="20"/>
        </w:rPr>
        <w:t>• Trail only: Payable only on amounts received from AMC / product provider; no payment on unfunded or reversed investments.</w:t>
      </w:r>
    </w:p>
    <w:p>
      <w:r>
        <w:rPr>
          <w:sz w:val="20"/>
        </w:rPr>
        <w:t>• Fund-specific overrides: Disclosed case-by-case by Kalviro by email; Partner must confirm acceptance by reply email before login / dashboard access / referral permission for that fund.</w:t>
      </w:r>
    </w:p>
    <w:p>
      <w:r>
        <w:rPr>
          <w:sz w:val="20"/>
        </w:rPr>
        <w:t>• Minimum investment for commission eligibility: as per product ticket size and Kalviro’s written confirmation.</w:t>
      </w:r>
    </w:p>
    <w:p>
      <w:r>
        <w:rPr>
          <w:sz w:val="20"/>
        </w:rPr>
        <w:t>• AIF / PMS note: Trail may accrue over the life of the investment; quarterly payout follows AMC receipt cycle.</w:t>
      </w:r>
    </w:p>
    <w:p/>
    <w:p>
      <w:r>
        <w:rPr>
          <w:b/>
          <w:color w:val="1A5C1A"/>
          <w:sz w:val="22"/>
        </w:rPr>
        <w:t>SCHEDULE C — FUND-SPECIFIC CONFIRMATION (TEMPLATE)</w:t>
      </w:r>
    </w:p>
    <w:p>
      <w:r>
        <w:rPr>
          <w:sz w:val="20"/>
        </w:rPr>
        <w:t>Kalviro will send separate emails for each fund with: fund name, product type, applicable share %, trail basis, exclusions, and effective date. Partner reply required: “I confirm acceptance of the terms for [Fund Name] as disclosed by Kalviro on [date].” Login and referral permissions for that fund activate only after Kalviro records this confirmation.</w:t>
      </w:r>
    </w:p>
    <w:p>
      <w:r>
        <w:rPr>
          <w:b/>
          <w:color w:val="1A5C1A"/>
          <w:sz w:val="22"/>
        </w:rPr>
        <w:t>ANNEXURE 1 — CODE OF CONDUCT DECLARATION</w:t>
      </w:r>
    </w:p>
    <w:p>
      <w:r>
        <w:rPr>
          <w:sz w:val="20"/>
        </w:rPr>
        <w:t>See separate document: 02-Code-of-Conduct-Declaration.docx (to be signed and attached).</w:t>
      </w:r>
    </w:p>
    <w:p/>
    <w:p>
      <w:r>
        <w:rPr>
          <w:b/>
          <w:color w:val="1A5C1A"/>
          <w:sz w:val="22"/>
        </w:rPr>
        <w:t>SIGNATURES</w:t>
      </w:r>
    </w:p>
    <w:p/>
    <w:p>
      <w:r>
        <w:rPr>
          <w:b/>
          <w:sz w:val="20"/>
        </w:rPr>
        <w:t>For Kalviro Ventures LLP</w:t>
      </w:r>
    </w:p>
    <w:p/>
    <w:p>
      <w:r>
        <w:rPr>
          <w:sz w:val="20"/>
        </w:rPr>
        <w:t>Signature: _________________________________</w:t>
      </w:r>
    </w:p>
    <w:p>
      <w:r>
        <w:rPr>
          <w:sz w:val="20"/>
        </w:rPr>
        <w:t>Name:     _________________________________</w:t>
      </w:r>
    </w:p>
    <w:p>
      <w:r>
        <w:rPr>
          <w:sz w:val="20"/>
        </w:rPr>
        <w:t>Date:     _________________________________</w:t>
      </w:r>
    </w:p>
    <w:p>
      <w:r>
        <w:rPr>
          <w:sz w:val="20"/>
        </w:rPr>
        <w:t>Place:    _________________________________</w:t>
      </w:r>
    </w:p>
    <w:p>
      <w:r>
        <w:rPr>
          <w:sz w:val="20"/>
        </w:rPr>
        <w:t>Authorised Signatory: _________________________________</w:t>
      </w:r>
    </w:p>
    <w:p>
      <w:r>
        <w:rPr>
          <w:sz w:val="20"/>
        </w:rPr>
        <w:t>Name: Shrenik Shah / Authorised Representative</w:t>
      </w:r>
    </w:p>
    <w:p>
      <w:r>
        <w:rPr>
          <w:sz w:val="20"/>
        </w:rPr>
        <w:t>Designation: Managing Partner / Authorised Signatory</w:t>
      </w:r>
    </w:p>
    <w:p/>
    <w:p/>
    <w:p>
      <w:r>
        <w:rPr>
          <w:b/>
          <w:sz w:val="20"/>
        </w:rPr>
        <w:t>For Referral Partner</w:t>
      </w:r>
    </w:p>
    <w:p/>
    <w:p>
      <w:r>
        <w:rPr>
          <w:sz w:val="20"/>
        </w:rPr>
        <w:t>Signature: _________________________________</w:t>
      </w:r>
    </w:p>
    <w:p>
      <w:r>
        <w:rPr>
          <w:sz w:val="20"/>
        </w:rPr>
        <w:t>Name:     _________________________________</w:t>
      </w:r>
    </w:p>
    <w:p>
      <w:r>
        <w:rPr>
          <w:sz w:val="20"/>
        </w:rPr>
        <w:t>Date:     _________________________________</w:t>
      </w:r>
    </w:p>
    <w:p>
      <w:r>
        <w:rPr>
          <w:sz w:val="20"/>
        </w:rPr>
        <w:t>Place:    _________________________________</w:t>
      </w:r>
    </w:p>
    <w:sectPr w:rsidR="00DF7D8E" w:rsidRPr="00F214C3" w:rsidSect="00C532FC">
      <w:headerReference w:type="default" r:id="rId7"/>
      <w:footerReference w:type="default" r:id="rId8"/>
      <w:pgSz w:w="11906" w:h="16838"/>
      <w:pgMar w:top="900" w:right="1000" w:bottom="900" w:left="10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C86E" w14:textId="77777777" w:rsidR="00705030" w:rsidRDefault="00705030">
      <w:r>
        <w:separator/>
      </w:r>
    </w:p>
  </w:endnote>
  <w:endnote w:type="continuationSeparator" w:id="0">
    <w:p w14:paraId="7CA6A5E5" w14:textId="77777777" w:rsidR="00705030" w:rsidRDefault="0070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B9D4" w14:textId="77777777" w:rsidR="00DF7D8E" w:rsidRDefault="00DF7D8E">
    <w:pPr>
      <w:pBdr>
        <w:top w:val="single" w:sz="14" w:space="0" w:color="2D7D2D"/>
      </w:pBdr>
      <w:spacing w:after="80"/>
    </w:pPr>
  </w:p>
  <w:p w14:paraId="37A20588" w14:textId="77777777" w:rsidR="00DF7D8E" w:rsidRDefault="00000000">
    <w:pPr>
      <w:jc w:val="center"/>
    </w:pPr>
    <w:r>
      <w:rPr>
        <w:noProof/>
      </w:rPr>
      <w:drawing>
        <wp:inline distT="0" distB="0" distL="0" distR="0" wp14:anchorId="5DB7C054" wp14:editId="305B0C7A">
          <wp:extent cx="1577340" cy="711737"/>
          <wp:effectExtent l="0" t="0" r="3810" b="0"/>
          <wp:docPr id="916507294" name="Picture 91650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67500" cy="752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BA23" w14:textId="77777777" w:rsidR="00705030" w:rsidRDefault="00705030">
      <w:r>
        <w:separator/>
      </w:r>
    </w:p>
  </w:footnote>
  <w:footnote w:type="continuationSeparator" w:id="0">
    <w:p w14:paraId="56DF94BC" w14:textId="77777777" w:rsidR="00705030" w:rsidRDefault="00705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49"/>
      <w:gridCol w:w="5857"/>
    </w:tblGrid>
    <w:tr w:rsidR="00DF7D8E" w14:paraId="522270CA" w14:textId="77777777">
      <w:tc>
        <w:tcPr>
          <w:tcW w:w="3400" w:type="dxa"/>
          <w:tcBorders>
            <w:top w:val="none" w:sz="0" w:space="0" w:color="FFFFFF"/>
            <w:left w:val="none" w:sz="0" w:space="0" w:color="FFFFFF"/>
            <w:bottom w:val="none" w:sz="0" w:space="0" w:color="FFFFFF"/>
            <w:right w:val="none" w:sz="0" w:space="0" w:color="FFFFFF"/>
          </w:tcBorders>
          <w:vAlign w:val="center"/>
        </w:tcPr>
        <w:p w14:paraId="5EE3AF41" w14:textId="6B5F5119" w:rsidR="00DF7D8E" w:rsidRDefault="00C532FC" w:rsidP="00C532FC">
          <w:pPr>
            <w:jc w:val="center"/>
          </w:pPr>
          <w:r w:rsidRPr="00C532FC">
            <w:rPr>
              <w:rFonts w:cs="Times New Roman"/>
              <w:noProof/>
              <w:color w:val="auto"/>
              <w:lang w:val="en-US" w:eastAsia="en-US"/>
            </w:rPr>
            <w:drawing>
              <wp:inline distT="0" distB="0" distL="0" distR="0" wp14:anchorId="42B72D42" wp14:editId="3FDB5F4B">
                <wp:extent cx="2558415" cy="10134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707238" cy="1072370"/>
                        </a:xfrm>
                        <a:prstGeom prst="rect">
                          <a:avLst/>
                        </a:prstGeom>
                      </pic:spPr>
                    </pic:pic>
                  </a:graphicData>
                </a:graphic>
              </wp:inline>
            </w:drawing>
          </w:r>
        </w:p>
      </w:tc>
      <w:tc>
        <w:tcPr>
          <w:tcW w:w="6506" w:type="dxa"/>
          <w:tcBorders>
            <w:top w:val="none" w:sz="0" w:space="0" w:color="FFFFFF"/>
            <w:left w:val="none" w:sz="0" w:space="0" w:color="FFFFFF"/>
            <w:bottom w:val="none" w:sz="0" w:space="0" w:color="FFFFFF"/>
            <w:right w:val="none" w:sz="0" w:space="0" w:color="FFFFFF"/>
          </w:tcBorders>
          <w:vAlign w:val="center"/>
        </w:tcPr>
        <w:p w14:paraId="5FC73697" w14:textId="77777777" w:rsidR="00DF7D8E" w:rsidRDefault="00000000">
          <w:pPr>
            <w:spacing w:after="50"/>
            <w:jc w:val="right"/>
          </w:pPr>
          <w:r>
            <w:rPr>
              <w:b/>
              <w:bCs/>
            </w:rPr>
            <w:t>KALVIRO VENTURES LLP</w:t>
          </w:r>
        </w:p>
        <w:p w14:paraId="788620DC" w14:textId="77777777" w:rsidR="00DF7D8E" w:rsidRPr="00C532FC" w:rsidRDefault="00000000">
          <w:pPr>
            <w:spacing w:after="40"/>
            <w:jc w:val="right"/>
            <w:rPr>
              <w:sz w:val="18"/>
              <w:szCs w:val="18"/>
            </w:rPr>
          </w:pPr>
          <w:r w:rsidRPr="00C532FC">
            <w:rPr>
              <w:color w:val="6B6B6B"/>
              <w:sz w:val="18"/>
              <w:szCs w:val="18"/>
            </w:rPr>
            <w:t>NO 1 Cooks Road, SPR City A Block - 2904, 29th Floor, Chennai - 600012</w:t>
          </w:r>
        </w:p>
        <w:p w14:paraId="4CA7883D" w14:textId="77777777" w:rsidR="00DF7D8E" w:rsidRDefault="00000000">
          <w:pPr>
            <w:jc w:val="right"/>
          </w:pPr>
          <w:r w:rsidRPr="00C532FC">
            <w:rPr>
              <w:color w:val="6B6B6B"/>
              <w:sz w:val="18"/>
              <w:szCs w:val="18"/>
            </w:rPr>
            <w:t>78100 08444   |   info@kalviroventures.com   |   www.kalviroventures.com</w:t>
          </w:r>
        </w:p>
      </w:tc>
    </w:tr>
  </w:tbl>
  <w:p w14:paraId="59C03321" w14:textId="77777777" w:rsidR="00DF7D8E" w:rsidRDefault="00DF7D8E">
    <w:pPr>
      <w:pBdr>
        <w:bottom w:val="single" w:sz="14" w:space="0" w:color="2D7D2D"/>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71EC6"/>
    <w:multiLevelType w:val="hybridMultilevel"/>
    <w:tmpl w:val="82FC88A6"/>
    <w:lvl w:ilvl="0" w:tplc="AE4C1916">
      <w:start w:val="1"/>
      <w:numFmt w:val="bullet"/>
      <w:lvlText w:val="●"/>
      <w:lvlJc w:val="left"/>
      <w:pPr>
        <w:ind w:left="720" w:hanging="360"/>
      </w:pPr>
    </w:lvl>
    <w:lvl w:ilvl="1" w:tplc="BC5EF652">
      <w:start w:val="1"/>
      <w:numFmt w:val="bullet"/>
      <w:lvlText w:val="○"/>
      <w:lvlJc w:val="left"/>
      <w:pPr>
        <w:ind w:left="1440" w:hanging="360"/>
      </w:pPr>
    </w:lvl>
    <w:lvl w:ilvl="2" w:tplc="492232A2">
      <w:start w:val="1"/>
      <w:numFmt w:val="bullet"/>
      <w:lvlText w:val="■"/>
      <w:lvlJc w:val="left"/>
      <w:pPr>
        <w:ind w:left="2160" w:hanging="360"/>
      </w:pPr>
    </w:lvl>
    <w:lvl w:ilvl="3" w:tplc="FC06138A">
      <w:start w:val="1"/>
      <w:numFmt w:val="bullet"/>
      <w:lvlText w:val="●"/>
      <w:lvlJc w:val="left"/>
      <w:pPr>
        <w:ind w:left="2880" w:hanging="360"/>
      </w:pPr>
    </w:lvl>
    <w:lvl w:ilvl="4" w:tplc="150857BE">
      <w:start w:val="1"/>
      <w:numFmt w:val="bullet"/>
      <w:lvlText w:val="○"/>
      <w:lvlJc w:val="left"/>
      <w:pPr>
        <w:ind w:left="3600" w:hanging="360"/>
      </w:pPr>
    </w:lvl>
    <w:lvl w:ilvl="5" w:tplc="8C481D2C">
      <w:start w:val="1"/>
      <w:numFmt w:val="bullet"/>
      <w:lvlText w:val="■"/>
      <w:lvlJc w:val="left"/>
      <w:pPr>
        <w:ind w:left="4320" w:hanging="360"/>
      </w:pPr>
    </w:lvl>
    <w:lvl w:ilvl="6" w:tplc="9DFC43B0">
      <w:start w:val="1"/>
      <w:numFmt w:val="bullet"/>
      <w:lvlText w:val="●"/>
      <w:lvlJc w:val="left"/>
      <w:pPr>
        <w:ind w:left="5040" w:hanging="360"/>
      </w:pPr>
    </w:lvl>
    <w:lvl w:ilvl="7" w:tplc="39282BF4">
      <w:start w:val="1"/>
      <w:numFmt w:val="bullet"/>
      <w:lvlText w:val="●"/>
      <w:lvlJc w:val="left"/>
      <w:pPr>
        <w:ind w:left="5760" w:hanging="360"/>
      </w:pPr>
    </w:lvl>
    <w:lvl w:ilvl="8" w:tplc="9F2A8EEA">
      <w:start w:val="1"/>
      <w:numFmt w:val="bullet"/>
      <w:lvlText w:val="●"/>
      <w:lvlJc w:val="left"/>
      <w:pPr>
        <w:ind w:left="6480" w:hanging="360"/>
      </w:pPr>
    </w:lvl>
  </w:abstractNum>
  <w:num w:numId="1" w16cid:durableId="2512781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D8E"/>
    <w:rsid w:val="003513B6"/>
    <w:rsid w:val="004E7DE5"/>
    <w:rsid w:val="006D1738"/>
    <w:rsid w:val="00705030"/>
    <w:rsid w:val="00BB5B0A"/>
    <w:rsid w:val="00BD2D74"/>
    <w:rsid w:val="00C532FC"/>
    <w:rsid w:val="00C76B84"/>
    <w:rsid w:val="00D2457F"/>
    <w:rsid w:val="00DB176D"/>
    <w:rsid w:val="00DF7D8E"/>
    <w:rsid w:val="00ED7171"/>
    <w:rsid w:val="00F214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C1E7B"/>
  <w15:docId w15:val="{0BF4D87A-590D-4380-9365-6E02F86A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C1C1C"/>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532FC"/>
    <w:pPr>
      <w:tabs>
        <w:tab w:val="center" w:pos="4513"/>
        <w:tab w:val="right" w:pos="9026"/>
      </w:tabs>
    </w:pPr>
  </w:style>
  <w:style w:type="character" w:customStyle="1" w:styleId="HeaderChar">
    <w:name w:val="Header Char"/>
    <w:basedOn w:val="DefaultParagraphFont"/>
    <w:link w:val="Header"/>
    <w:uiPriority w:val="99"/>
    <w:rsid w:val="00C532FC"/>
  </w:style>
  <w:style w:type="paragraph" w:styleId="Footer">
    <w:name w:val="footer"/>
    <w:basedOn w:val="Normal"/>
    <w:link w:val="FooterChar"/>
    <w:uiPriority w:val="99"/>
    <w:unhideWhenUsed/>
    <w:rsid w:val="00C532FC"/>
    <w:pPr>
      <w:tabs>
        <w:tab w:val="center" w:pos="4513"/>
        <w:tab w:val="right" w:pos="9026"/>
      </w:tabs>
    </w:pPr>
  </w:style>
  <w:style w:type="character" w:customStyle="1" w:styleId="FooterChar">
    <w:name w:val="Footer Char"/>
    <w:basedOn w:val="DefaultParagraphFont"/>
    <w:link w:val="Footer"/>
    <w:uiPriority w:val="99"/>
    <w:rsid w:val="00C53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Shrenik Shah</cp:lastModifiedBy>
  <cp:revision>2</cp:revision>
  <cp:lastPrinted>2026-06-06T03:49:00Z</cp:lastPrinted>
  <dcterms:created xsi:type="dcterms:W3CDTF">2026-06-27T04:35:00Z</dcterms:created>
  <dcterms:modified xsi:type="dcterms:W3CDTF">2026-06-27T04:35:00Z</dcterms:modified>
</cp:coreProperties>
</file>